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ED" w:rsidRPr="004D2732" w:rsidRDefault="00EF3C07">
      <w:pPr>
        <w:rPr>
          <w:rFonts w:ascii="Arial" w:eastAsiaTheme="minorHAnsi" w:hAnsi="Arial" w:cs="Arial"/>
          <w:color w:val="1F497D" w:themeColor="text2"/>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3115A108" wp14:editId="25CF6EA0">
            <wp:simplePos x="0" y="0"/>
            <wp:positionH relativeFrom="margin">
              <wp:posOffset>3293110</wp:posOffset>
            </wp:positionH>
            <wp:positionV relativeFrom="margin">
              <wp:posOffset>-494665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3919F9">
            <w:pPr>
              <w:jc w:val="both"/>
              <w:rPr>
                <w:rFonts w:ascii="Arial" w:hAnsi="Arial" w:cs="Arial"/>
                <w:b/>
                <w:color w:val="1F497D" w:themeColor="text2"/>
                <w:sz w:val="24"/>
                <w:szCs w:val="24"/>
              </w:rPr>
            </w:pPr>
          </w:p>
        </w:tc>
        <w:tc>
          <w:tcPr>
            <w:tcW w:w="6379" w:type="dxa"/>
            <w:gridSpan w:val="2"/>
          </w:tcPr>
          <w:p w:rsidR="00033AED" w:rsidRPr="00B974D4" w:rsidRDefault="00033AED" w:rsidP="000655AE">
            <w:pPr>
              <w:jc w:val="both"/>
              <w:rPr>
                <w:rFonts w:ascii="Arial" w:hAnsi="Arial" w:cs="Arial"/>
                <w:b/>
                <w:color w:val="1F497D" w:themeColor="text2"/>
                <w:sz w:val="24"/>
                <w:szCs w:val="24"/>
              </w:rPr>
            </w:pPr>
          </w:p>
          <w:p w:rsidR="00BA65F9" w:rsidRPr="00B974D4" w:rsidRDefault="00BA65F9" w:rsidP="000655AE">
            <w:pPr>
              <w:jc w:val="both"/>
              <w:rPr>
                <w:rFonts w:ascii="Arial" w:hAnsi="Arial" w:cs="Arial"/>
                <w:b/>
                <w:color w:val="1F497D" w:themeColor="text2"/>
                <w:sz w:val="24"/>
                <w:szCs w:val="24"/>
              </w:rPr>
            </w:pPr>
            <w:r w:rsidRPr="00B974D4">
              <w:rPr>
                <w:rFonts w:ascii="Arial" w:hAnsi="Arial" w:cs="Arial"/>
                <w:b/>
                <w:bCs/>
                <w:color w:val="1F497D" w:themeColor="text2"/>
                <w:sz w:val="24"/>
                <w:szCs w:val="24"/>
              </w:rPr>
              <w:t>Disclosure Officer</w:t>
            </w:r>
          </w:p>
        </w:tc>
      </w:tr>
      <w:tr w:rsidR="004D2732" w:rsidRPr="009512CF" w:rsidTr="000E1E6C">
        <w:tc>
          <w:tcPr>
            <w:tcW w:w="2376" w:type="dxa"/>
          </w:tcPr>
          <w:p w:rsidR="004D2732" w:rsidRPr="009512CF" w:rsidRDefault="004D2732" w:rsidP="003919F9">
            <w:pPr>
              <w:jc w:val="both"/>
              <w:rPr>
                <w:rFonts w:ascii="Arial" w:hAnsi="Arial" w:cs="Arial"/>
                <w:b/>
                <w:color w:val="1F497D" w:themeColor="text2"/>
                <w:sz w:val="24"/>
                <w:szCs w:val="24"/>
              </w:rPr>
            </w:pPr>
          </w:p>
          <w:p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3919F9">
            <w:pPr>
              <w:jc w:val="both"/>
              <w:rPr>
                <w:rFonts w:ascii="Arial" w:hAnsi="Arial" w:cs="Arial"/>
                <w:b/>
                <w:color w:val="1F497D" w:themeColor="text2"/>
                <w:sz w:val="24"/>
                <w:szCs w:val="24"/>
              </w:rPr>
            </w:pPr>
          </w:p>
        </w:tc>
        <w:tc>
          <w:tcPr>
            <w:tcW w:w="4536" w:type="dxa"/>
          </w:tcPr>
          <w:p w:rsidR="004D2732" w:rsidRPr="00B974D4" w:rsidRDefault="004D2732" w:rsidP="003919F9">
            <w:pPr>
              <w:jc w:val="both"/>
              <w:rPr>
                <w:rFonts w:ascii="Arial" w:hAnsi="Arial" w:cs="Arial"/>
                <w:b/>
                <w:color w:val="1F497D" w:themeColor="text2"/>
                <w:sz w:val="24"/>
                <w:szCs w:val="24"/>
              </w:rPr>
            </w:pPr>
          </w:p>
          <w:p w:rsidR="004D2732" w:rsidRPr="00B974D4" w:rsidRDefault="00BA65F9" w:rsidP="003919F9">
            <w:pPr>
              <w:jc w:val="both"/>
              <w:rPr>
                <w:rFonts w:ascii="Arial" w:hAnsi="Arial" w:cs="Arial"/>
                <w:b/>
                <w:color w:val="1F497D" w:themeColor="text2"/>
                <w:sz w:val="24"/>
                <w:szCs w:val="24"/>
              </w:rPr>
            </w:pPr>
            <w:r w:rsidRPr="00B974D4">
              <w:rPr>
                <w:rFonts w:ascii="Arial" w:hAnsi="Arial" w:cs="Arial"/>
                <w:b/>
                <w:color w:val="1F497D" w:themeColor="text2"/>
                <w:sz w:val="24"/>
                <w:szCs w:val="24"/>
              </w:rPr>
              <w:t>LC 5</w:t>
            </w:r>
          </w:p>
        </w:tc>
        <w:tc>
          <w:tcPr>
            <w:tcW w:w="1843" w:type="dxa"/>
          </w:tcPr>
          <w:p w:rsidR="004D2732" w:rsidRPr="00B974D4" w:rsidRDefault="004D2732" w:rsidP="003919F9">
            <w:pPr>
              <w:jc w:val="both"/>
              <w:rPr>
                <w:rFonts w:ascii="Arial" w:hAnsi="Arial" w:cs="Arial"/>
                <w:b/>
                <w:color w:val="1F497D" w:themeColor="text2"/>
                <w:sz w:val="24"/>
                <w:szCs w:val="24"/>
              </w:rPr>
            </w:pPr>
          </w:p>
          <w:p w:rsidR="004D2732" w:rsidRPr="00B974D4" w:rsidRDefault="004D2732" w:rsidP="004D2732">
            <w:pPr>
              <w:jc w:val="center"/>
              <w:rPr>
                <w:rFonts w:ascii="Arial" w:hAnsi="Arial" w:cs="Arial"/>
                <w:b/>
                <w:color w:val="1F497D" w:themeColor="text2"/>
                <w:sz w:val="24"/>
                <w:szCs w:val="24"/>
              </w:rPr>
            </w:pPr>
            <w:r w:rsidRPr="00B974D4">
              <w:rPr>
                <w:rFonts w:ascii="Arial" w:hAnsi="Arial" w:cs="Arial"/>
                <w:b/>
                <w:color w:val="1F497D" w:themeColor="text2"/>
                <w:sz w:val="24"/>
                <w:szCs w:val="24"/>
              </w:rPr>
              <w:t xml:space="preserve">JE: </w:t>
            </w:r>
            <w:r w:rsidR="00BA65F9" w:rsidRPr="00B974D4">
              <w:rPr>
                <w:rFonts w:ascii="Arial" w:hAnsi="Arial" w:cs="Arial"/>
                <w:b/>
                <w:color w:val="1F497D" w:themeColor="text2"/>
                <w:sz w:val="24"/>
                <w:szCs w:val="24"/>
              </w:rPr>
              <w:t>305</w:t>
            </w:r>
          </w:p>
        </w:tc>
      </w:tr>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tcPr>
          <w:p w:rsidR="00033AED" w:rsidRPr="00B974D4" w:rsidRDefault="00033AED" w:rsidP="003919F9">
            <w:pPr>
              <w:jc w:val="both"/>
              <w:rPr>
                <w:rFonts w:ascii="Arial" w:hAnsi="Arial" w:cs="Arial"/>
                <w:b/>
                <w:color w:val="1F497D" w:themeColor="text2"/>
                <w:sz w:val="24"/>
                <w:szCs w:val="24"/>
              </w:rPr>
            </w:pPr>
          </w:p>
          <w:p w:rsidR="00033AED" w:rsidRDefault="00BA65F9" w:rsidP="003919F9">
            <w:pPr>
              <w:jc w:val="both"/>
              <w:rPr>
                <w:rFonts w:ascii="Arial" w:hAnsi="Arial" w:cs="Arial"/>
                <w:b/>
                <w:color w:val="1F497D" w:themeColor="text2"/>
                <w:sz w:val="24"/>
                <w:szCs w:val="24"/>
              </w:rPr>
            </w:pPr>
            <w:r w:rsidRPr="00B974D4">
              <w:rPr>
                <w:rFonts w:ascii="Arial" w:hAnsi="Arial" w:cs="Arial"/>
                <w:b/>
                <w:color w:val="1F497D" w:themeColor="text2"/>
                <w:sz w:val="24"/>
                <w:szCs w:val="24"/>
              </w:rPr>
              <w:t>HQ – (DBS) Disclosure and Barring Service</w:t>
            </w:r>
          </w:p>
          <w:p w:rsidR="0054362E" w:rsidRPr="00B974D4" w:rsidRDefault="0054362E" w:rsidP="003919F9">
            <w:pPr>
              <w:jc w:val="both"/>
              <w:rPr>
                <w:rFonts w:ascii="Arial" w:hAnsi="Arial" w:cs="Arial"/>
                <w:b/>
                <w:color w:val="1F497D" w:themeColor="text2"/>
                <w:sz w:val="24"/>
                <w:szCs w:val="24"/>
              </w:rPr>
            </w:pPr>
          </w:p>
        </w:tc>
      </w:tr>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rsidR="00033AED" w:rsidRPr="00B974D4" w:rsidRDefault="00033AED" w:rsidP="003919F9">
            <w:pPr>
              <w:jc w:val="both"/>
              <w:rPr>
                <w:rFonts w:ascii="Arial" w:hAnsi="Arial" w:cs="Arial"/>
                <w:b/>
                <w:color w:val="1F497D" w:themeColor="text2"/>
                <w:sz w:val="24"/>
                <w:szCs w:val="24"/>
              </w:rPr>
            </w:pPr>
          </w:p>
          <w:p w:rsidR="00033AED" w:rsidRDefault="00BA65F9" w:rsidP="000E1E6C">
            <w:pPr>
              <w:jc w:val="both"/>
              <w:rPr>
                <w:rFonts w:ascii="Arial" w:hAnsi="Arial" w:cs="Arial"/>
                <w:b/>
                <w:bCs/>
                <w:color w:val="1F497D" w:themeColor="text2"/>
                <w:sz w:val="24"/>
                <w:szCs w:val="24"/>
              </w:rPr>
            </w:pPr>
            <w:r w:rsidRPr="00B974D4">
              <w:rPr>
                <w:rFonts w:ascii="Arial" w:hAnsi="Arial" w:cs="Arial"/>
                <w:b/>
                <w:bCs/>
                <w:color w:val="1F497D" w:themeColor="text2"/>
                <w:sz w:val="24"/>
                <w:szCs w:val="24"/>
              </w:rPr>
              <w:t>DBS Supervisors</w:t>
            </w:r>
          </w:p>
          <w:p w:rsidR="0054362E" w:rsidRPr="00B974D4" w:rsidRDefault="0054362E" w:rsidP="000E1E6C">
            <w:pPr>
              <w:jc w:val="both"/>
              <w:rPr>
                <w:rFonts w:ascii="Arial" w:hAnsi="Arial" w:cs="Arial"/>
                <w:b/>
                <w:color w:val="1F497D" w:themeColor="text2"/>
                <w:sz w:val="24"/>
                <w:szCs w:val="24"/>
              </w:rPr>
            </w:pPr>
            <w:bookmarkStart w:id="0" w:name="_GoBack"/>
            <w:bookmarkEnd w:id="0"/>
          </w:p>
        </w:tc>
      </w:tr>
    </w:tbl>
    <w:p w:rsidR="00751119" w:rsidRDefault="00751119"/>
    <w:tbl>
      <w:tblPr>
        <w:tblStyle w:val="TableGrid"/>
        <w:tblW w:w="8755" w:type="dxa"/>
        <w:tblInd w:w="0" w:type="dxa"/>
        <w:tblLook w:val="04A0" w:firstRow="1" w:lastRow="0" w:firstColumn="1" w:lastColumn="0" w:noHBand="0" w:noVBand="1"/>
      </w:tblPr>
      <w:tblGrid>
        <w:gridCol w:w="8755"/>
      </w:tblGrid>
      <w:tr w:rsidR="00751119" w:rsidTr="00751119">
        <w:tc>
          <w:tcPr>
            <w:tcW w:w="8755"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751119">
        <w:tc>
          <w:tcPr>
            <w:tcW w:w="8755" w:type="dxa"/>
          </w:tcPr>
          <w:p w:rsidR="00751119" w:rsidRPr="00BA65F9" w:rsidRDefault="00751119" w:rsidP="00B974D4"/>
          <w:p w:rsidR="000655AE" w:rsidRPr="00BA65F9" w:rsidRDefault="00BA65F9" w:rsidP="0054362E">
            <w:pPr>
              <w:jc w:val="both"/>
              <w:rPr>
                <w:rFonts w:ascii="Arial" w:hAnsi="Arial" w:cs="Arial"/>
                <w:sz w:val="24"/>
                <w:szCs w:val="24"/>
              </w:rPr>
            </w:pPr>
            <w:r w:rsidRPr="00BA65F9">
              <w:rPr>
                <w:rFonts w:ascii="Arial" w:hAnsi="Arial" w:cs="Arial"/>
                <w:sz w:val="24"/>
                <w:szCs w:val="24"/>
              </w:rPr>
              <w:t xml:space="preserve">To undertake checks on behalf of the Disclosure and Barring Service for employment purposes in relation to posts </w:t>
            </w:r>
            <w:proofErr w:type="gramStart"/>
            <w:r w:rsidRPr="00BA65F9">
              <w:rPr>
                <w:rFonts w:ascii="Arial" w:hAnsi="Arial" w:cs="Arial"/>
                <w:sz w:val="24"/>
                <w:szCs w:val="24"/>
              </w:rPr>
              <w:t>that are</w:t>
            </w:r>
            <w:proofErr w:type="gramEnd"/>
            <w:r w:rsidRPr="00BA65F9">
              <w:rPr>
                <w:rFonts w:ascii="Arial" w:hAnsi="Arial" w:cs="Arial"/>
                <w:sz w:val="24"/>
                <w:szCs w:val="24"/>
              </w:rPr>
              <w:t xml:space="preserve"> eligible for an Enhanced DBS Check. To process applications by conducting checks and research on various databases in order to identify both relevant and non-relevant information using the Unit’s specific search criteria and the DBS Quality Assurance Framework (QAF).  To complete written reports for the purpose of providing a clear and cogent audit trail/rationale to support a Disclosure Decision.</w:t>
            </w:r>
          </w:p>
          <w:p w:rsidR="000E1E6C" w:rsidRDefault="000E1E6C" w:rsidP="004D2732"/>
        </w:tc>
      </w:tr>
    </w:tbl>
    <w:p w:rsidR="00751119" w:rsidRDefault="00751119"/>
    <w:tbl>
      <w:tblPr>
        <w:tblStyle w:val="TableGrid"/>
        <w:tblW w:w="8755" w:type="dxa"/>
        <w:tblInd w:w="0" w:type="dxa"/>
        <w:tblLook w:val="04A0" w:firstRow="1" w:lastRow="0" w:firstColumn="1" w:lastColumn="0" w:noHBand="0" w:noVBand="1"/>
      </w:tblPr>
      <w:tblGrid>
        <w:gridCol w:w="8755"/>
      </w:tblGrid>
      <w:tr w:rsidR="00EF3C07" w:rsidTr="00EF3C07">
        <w:tc>
          <w:tcPr>
            <w:tcW w:w="8755"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EF3C07">
        <w:tc>
          <w:tcPr>
            <w:tcW w:w="8755" w:type="dxa"/>
          </w:tcPr>
          <w:p w:rsidR="00EF3C07" w:rsidRDefault="00411BBB" w:rsidP="0054362E">
            <w:pPr>
              <w:jc w:val="both"/>
              <w:textAlignment w:val="auto"/>
            </w:pPr>
            <w:r w:rsidRPr="00411BBB">
              <w:rPr>
                <w:rFonts w:ascii="Arial" w:hAnsi="Arial" w:cs="Arial"/>
                <w:b/>
                <w:bCs/>
                <w:sz w:val="24"/>
                <w:szCs w:val="24"/>
              </w:rPr>
              <w:t>This is not a comprehensive list of all the tasks which may be required of the post holder. It is illustrative of the general nature and level of responsibility of the work to be undertaken.</w:t>
            </w:r>
          </w:p>
          <w:p w:rsidR="00411BBB" w:rsidRDefault="00411BBB" w:rsidP="0054362E">
            <w:pPr>
              <w:jc w:val="both"/>
            </w:pPr>
          </w:p>
          <w:p w:rsidR="00BA65F9" w:rsidRPr="00BF31CB" w:rsidRDefault="00BA65F9" w:rsidP="0054362E">
            <w:pPr>
              <w:pStyle w:val="NoSpacing"/>
              <w:numPr>
                <w:ilvl w:val="0"/>
                <w:numId w:val="5"/>
              </w:numPr>
              <w:jc w:val="both"/>
              <w:rPr>
                <w:rFonts w:ascii="Arial" w:hAnsi="Arial" w:cs="Arial"/>
              </w:rPr>
            </w:pPr>
            <w:r w:rsidRPr="00BF31CB">
              <w:rPr>
                <w:rFonts w:ascii="Arial" w:hAnsi="Arial" w:cs="Arial"/>
              </w:rPr>
              <w:t>To process DBS applications for Enhanced checks on a continuous basis.</w:t>
            </w:r>
          </w:p>
          <w:p w:rsidR="00BA65F9" w:rsidRPr="00BF31CB" w:rsidRDefault="00BA65F9" w:rsidP="0054362E">
            <w:pPr>
              <w:pStyle w:val="NoSpacing"/>
              <w:jc w:val="both"/>
              <w:rPr>
                <w:rFonts w:ascii="Arial" w:hAnsi="Arial" w:cs="Arial"/>
              </w:rPr>
            </w:pPr>
          </w:p>
          <w:p w:rsidR="00BA65F9" w:rsidRPr="00BF31CB" w:rsidRDefault="00BA65F9" w:rsidP="0054362E">
            <w:pPr>
              <w:pStyle w:val="NoSpacing"/>
              <w:numPr>
                <w:ilvl w:val="0"/>
                <w:numId w:val="5"/>
              </w:numPr>
              <w:jc w:val="both"/>
              <w:rPr>
                <w:rFonts w:ascii="Arial" w:hAnsi="Arial" w:cs="Arial"/>
              </w:rPr>
            </w:pPr>
            <w:r w:rsidRPr="00BF31CB">
              <w:rPr>
                <w:rFonts w:ascii="Arial" w:hAnsi="Arial" w:cs="Arial"/>
              </w:rPr>
              <w:t>To conduct checks on various databases including the Police National Computer using the Quality Assurance Framework to assist in identifying both relevant and non-relevant information.</w:t>
            </w:r>
          </w:p>
          <w:p w:rsidR="00BA65F9" w:rsidRPr="00BF31CB" w:rsidRDefault="00BA65F9" w:rsidP="0054362E">
            <w:pPr>
              <w:pStyle w:val="NoSpacing"/>
              <w:jc w:val="both"/>
              <w:rPr>
                <w:rFonts w:ascii="Arial" w:hAnsi="Arial" w:cs="Arial"/>
              </w:rPr>
            </w:pPr>
          </w:p>
          <w:p w:rsidR="00BA65F9" w:rsidRPr="00BF31CB" w:rsidRDefault="00BA65F9" w:rsidP="0054362E">
            <w:pPr>
              <w:pStyle w:val="NoSpacing"/>
              <w:numPr>
                <w:ilvl w:val="0"/>
                <w:numId w:val="5"/>
              </w:numPr>
              <w:jc w:val="both"/>
              <w:rPr>
                <w:rFonts w:ascii="Arial" w:hAnsi="Arial" w:cs="Arial"/>
              </w:rPr>
            </w:pPr>
            <w:r w:rsidRPr="00BF31CB">
              <w:rPr>
                <w:rFonts w:ascii="Arial" w:hAnsi="Arial" w:cs="Arial"/>
              </w:rPr>
              <w:t xml:space="preserve">To quality check all applications processed in order to identify any data quality issues as well as eligibility and </w:t>
            </w:r>
            <w:proofErr w:type="gramStart"/>
            <w:r w:rsidRPr="00BF31CB">
              <w:rPr>
                <w:rFonts w:ascii="Arial" w:hAnsi="Arial" w:cs="Arial"/>
              </w:rPr>
              <w:t>conflicting</w:t>
            </w:r>
            <w:proofErr w:type="gramEnd"/>
            <w:r w:rsidRPr="00BF31CB">
              <w:rPr>
                <w:rFonts w:ascii="Arial" w:hAnsi="Arial" w:cs="Arial"/>
              </w:rPr>
              <w:t xml:space="preserve"> any applications back to the DBS where information is believed to be incorrect/inaccurate or the application is not eligible for an Enhanced Check.</w:t>
            </w:r>
          </w:p>
          <w:p w:rsidR="00BA65F9" w:rsidRPr="00BF31CB" w:rsidRDefault="00BA65F9" w:rsidP="0054362E">
            <w:pPr>
              <w:pStyle w:val="NoSpacing"/>
              <w:jc w:val="both"/>
              <w:rPr>
                <w:rFonts w:ascii="Arial" w:hAnsi="Arial" w:cs="Arial"/>
              </w:rPr>
            </w:pPr>
          </w:p>
          <w:p w:rsidR="00BA65F9" w:rsidRPr="00BF31CB" w:rsidRDefault="00BA65F9" w:rsidP="0054362E">
            <w:pPr>
              <w:pStyle w:val="NoSpacing"/>
              <w:numPr>
                <w:ilvl w:val="0"/>
                <w:numId w:val="5"/>
              </w:numPr>
              <w:jc w:val="both"/>
              <w:rPr>
                <w:rFonts w:ascii="Arial" w:hAnsi="Arial" w:cs="Arial"/>
              </w:rPr>
            </w:pPr>
            <w:r w:rsidRPr="00BF31CB">
              <w:rPr>
                <w:rFonts w:ascii="Arial" w:hAnsi="Arial" w:cs="Arial"/>
              </w:rPr>
              <w:t>To interpret and analyse all information found using the Quality Assurance Framework to determine relevancy and to assist in decision making in relation to whether relevant information should be considered further.</w:t>
            </w:r>
          </w:p>
          <w:p w:rsidR="00BA65F9" w:rsidRPr="00BF31CB" w:rsidRDefault="00BA65F9" w:rsidP="0054362E">
            <w:pPr>
              <w:pStyle w:val="NoSpacing"/>
              <w:jc w:val="both"/>
              <w:rPr>
                <w:rFonts w:ascii="Arial" w:hAnsi="Arial" w:cs="Arial"/>
              </w:rPr>
            </w:pPr>
          </w:p>
          <w:p w:rsidR="00BA65F9" w:rsidRPr="00BF31CB" w:rsidRDefault="00BA65F9" w:rsidP="0054362E">
            <w:pPr>
              <w:pStyle w:val="NoSpacing"/>
              <w:numPr>
                <w:ilvl w:val="0"/>
                <w:numId w:val="5"/>
              </w:numPr>
              <w:jc w:val="both"/>
              <w:rPr>
                <w:rFonts w:ascii="Arial" w:hAnsi="Arial" w:cs="Arial"/>
              </w:rPr>
            </w:pPr>
            <w:r w:rsidRPr="00BF31CB">
              <w:rPr>
                <w:rFonts w:ascii="Arial" w:hAnsi="Arial" w:cs="Arial"/>
              </w:rPr>
              <w:t>To complete accurate written reports consisting of a Hit Relevance table, a concise summary of all relevant information being considered further and a clear, cogent audit trail, recording all factors/considerations to support the disclosure decision prior to submitting to Supervisors/Managers.</w:t>
            </w:r>
          </w:p>
          <w:p w:rsidR="00BA65F9" w:rsidRPr="00BF31CB" w:rsidRDefault="00BA65F9" w:rsidP="0054362E">
            <w:pPr>
              <w:pStyle w:val="NoSpacing"/>
              <w:jc w:val="both"/>
              <w:rPr>
                <w:rFonts w:ascii="Arial" w:hAnsi="Arial" w:cs="Arial"/>
              </w:rPr>
            </w:pPr>
          </w:p>
          <w:p w:rsidR="00BA65F9" w:rsidRPr="00BF31CB" w:rsidRDefault="00BA65F9" w:rsidP="0054362E">
            <w:pPr>
              <w:pStyle w:val="NoSpacing"/>
              <w:numPr>
                <w:ilvl w:val="0"/>
                <w:numId w:val="5"/>
              </w:numPr>
              <w:jc w:val="both"/>
              <w:rPr>
                <w:rFonts w:ascii="Arial" w:hAnsi="Arial" w:cs="Arial"/>
              </w:rPr>
            </w:pPr>
            <w:r w:rsidRPr="00BF31CB">
              <w:rPr>
                <w:rFonts w:ascii="Arial" w:hAnsi="Arial" w:cs="Arial"/>
              </w:rPr>
              <w:t xml:space="preserve">To liaise with internal personnel, DBS, outside agencies and other forces in </w:t>
            </w:r>
            <w:r w:rsidRPr="00BF31CB">
              <w:rPr>
                <w:rFonts w:ascii="Arial" w:hAnsi="Arial" w:cs="Arial"/>
              </w:rPr>
              <w:lastRenderedPageBreak/>
              <w:t>respect of the work of the Unit, either in person, by phone or via e-mail to obtain further information in relation to decision making and maintaining contact to ensure these requests are returned in a timely manner.</w:t>
            </w:r>
          </w:p>
          <w:p w:rsidR="00BA65F9" w:rsidRPr="00BF31CB" w:rsidRDefault="00BA65F9" w:rsidP="0054362E">
            <w:pPr>
              <w:pStyle w:val="NoSpacing"/>
              <w:jc w:val="both"/>
              <w:rPr>
                <w:rFonts w:ascii="Arial" w:hAnsi="Arial" w:cs="Arial"/>
              </w:rPr>
            </w:pPr>
          </w:p>
          <w:p w:rsidR="00BA65F9" w:rsidRDefault="00BA65F9" w:rsidP="0054362E">
            <w:pPr>
              <w:pStyle w:val="NoSpacing"/>
              <w:numPr>
                <w:ilvl w:val="0"/>
                <w:numId w:val="5"/>
              </w:numPr>
              <w:jc w:val="both"/>
              <w:rPr>
                <w:rFonts w:ascii="Arial" w:hAnsi="Arial" w:cs="Arial"/>
              </w:rPr>
            </w:pPr>
            <w:r w:rsidRPr="00BF31CB">
              <w:rPr>
                <w:rFonts w:ascii="Arial" w:hAnsi="Arial" w:cs="Arial"/>
              </w:rPr>
              <w:t>To handle sensitive and confidential information in an appropriate manner, ensuring compliance with the Data Protection Principles at all times</w:t>
            </w:r>
          </w:p>
          <w:p w:rsidR="00854374" w:rsidRDefault="00854374" w:rsidP="0054362E">
            <w:pPr>
              <w:pStyle w:val="ListParagraph"/>
              <w:jc w:val="both"/>
              <w:rPr>
                <w:rFonts w:ascii="Arial" w:hAnsi="Arial" w:cs="Arial"/>
              </w:rPr>
            </w:pPr>
          </w:p>
          <w:p w:rsidR="00BA65F9" w:rsidRPr="00BF31CB" w:rsidRDefault="00BA65F9" w:rsidP="0054362E">
            <w:pPr>
              <w:pStyle w:val="NoSpacing"/>
              <w:numPr>
                <w:ilvl w:val="0"/>
                <w:numId w:val="5"/>
              </w:numPr>
              <w:jc w:val="both"/>
              <w:rPr>
                <w:rFonts w:ascii="Arial" w:hAnsi="Arial" w:cs="Arial"/>
              </w:rPr>
            </w:pPr>
            <w:r w:rsidRPr="00BF31CB">
              <w:rPr>
                <w:rFonts w:ascii="Arial" w:hAnsi="Arial" w:cs="Arial"/>
              </w:rPr>
              <w:t>To demonstrate a strong commitment to delivering a high standard of service at all times by managing and prioritising own workload to ensure all performance targets and business objectives are met to ensure a high quality service is maintained.</w:t>
            </w:r>
          </w:p>
          <w:p w:rsidR="00BA65F9" w:rsidRPr="00BF31CB" w:rsidRDefault="00BA65F9" w:rsidP="0054362E">
            <w:pPr>
              <w:pStyle w:val="NoSpacing"/>
              <w:jc w:val="both"/>
              <w:rPr>
                <w:rFonts w:ascii="Arial" w:hAnsi="Arial" w:cs="Arial"/>
              </w:rPr>
            </w:pPr>
          </w:p>
          <w:p w:rsidR="00BA65F9" w:rsidRPr="00BF31CB" w:rsidRDefault="00BA65F9" w:rsidP="0054362E">
            <w:pPr>
              <w:pStyle w:val="NoSpacing"/>
              <w:numPr>
                <w:ilvl w:val="0"/>
                <w:numId w:val="5"/>
              </w:numPr>
              <w:jc w:val="both"/>
              <w:rPr>
                <w:rFonts w:ascii="Arial" w:hAnsi="Arial" w:cs="Arial"/>
              </w:rPr>
            </w:pPr>
            <w:r w:rsidRPr="00BF31CB">
              <w:rPr>
                <w:rFonts w:ascii="Arial" w:hAnsi="Arial" w:cs="Arial"/>
              </w:rPr>
              <w:t>To have a working knowledge of Part V of the Police Act 1997 and other legislation in relation to the DBS process, ensuring that all documentation in relation to the Quality Assurance Framework and the Unit’s own training/guidance material is kept up to date.</w:t>
            </w:r>
          </w:p>
          <w:p w:rsidR="00BA65F9" w:rsidRPr="00BF31CB" w:rsidRDefault="00BA65F9" w:rsidP="0054362E">
            <w:pPr>
              <w:pStyle w:val="NoSpacing"/>
              <w:jc w:val="both"/>
              <w:rPr>
                <w:rFonts w:ascii="Arial" w:hAnsi="Arial" w:cs="Arial"/>
              </w:rPr>
            </w:pPr>
          </w:p>
          <w:p w:rsidR="00BA65F9" w:rsidRPr="00BF31CB" w:rsidRDefault="00BA65F9" w:rsidP="0054362E">
            <w:pPr>
              <w:pStyle w:val="NoSpacing"/>
              <w:numPr>
                <w:ilvl w:val="0"/>
                <w:numId w:val="5"/>
              </w:numPr>
              <w:jc w:val="both"/>
              <w:rPr>
                <w:rFonts w:ascii="Arial" w:hAnsi="Arial" w:cs="Arial"/>
              </w:rPr>
            </w:pPr>
            <w:r w:rsidRPr="00BF31CB">
              <w:rPr>
                <w:rFonts w:ascii="Arial" w:hAnsi="Arial" w:cs="Arial"/>
              </w:rPr>
              <w:t>To be aware of the Unit’s objectives, Service Level Agreement and customer requirements, highlighting potential changes to improve efficiency/performance when required and to provide general advice and guidance to internal personnel as well as outside agencies.</w:t>
            </w:r>
          </w:p>
          <w:p w:rsidR="00BA65F9" w:rsidRPr="00BF31CB" w:rsidRDefault="00BA65F9" w:rsidP="0054362E">
            <w:pPr>
              <w:pStyle w:val="NoSpacing"/>
              <w:jc w:val="both"/>
              <w:rPr>
                <w:rFonts w:ascii="Arial" w:hAnsi="Arial" w:cs="Arial"/>
              </w:rPr>
            </w:pPr>
          </w:p>
          <w:p w:rsidR="00BA65F9" w:rsidRPr="00BF31CB" w:rsidRDefault="00BA65F9" w:rsidP="0054362E">
            <w:pPr>
              <w:pStyle w:val="NoSpacing"/>
              <w:numPr>
                <w:ilvl w:val="0"/>
                <w:numId w:val="5"/>
              </w:numPr>
              <w:jc w:val="both"/>
              <w:rPr>
                <w:rFonts w:ascii="Arial" w:hAnsi="Arial" w:cs="Arial"/>
              </w:rPr>
            </w:pPr>
            <w:r w:rsidRPr="00BF31CB">
              <w:rPr>
                <w:rFonts w:ascii="Arial" w:hAnsi="Arial" w:cs="Arial"/>
              </w:rPr>
              <w:t>To maintain and update computerised records in relation to relevant logs for applications processed and those that are pending completion.</w:t>
            </w:r>
          </w:p>
          <w:p w:rsidR="00BA65F9" w:rsidRPr="00BF31CB" w:rsidRDefault="00BA65F9" w:rsidP="0054362E">
            <w:pPr>
              <w:pStyle w:val="NoSpacing"/>
              <w:jc w:val="both"/>
              <w:rPr>
                <w:rFonts w:ascii="Arial" w:hAnsi="Arial" w:cs="Arial"/>
              </w:rPr>
            </w:pPr>
          </w:p>
          <w:p w:rsidR="000E1E6C" w:rsidRPr="00BA65F9" w:rsidRDefault="00BA65F9" w:rsidP="0054362E">
            <w:pPr>
              <w:pStyle w:val="NoSpacing"/>
              <w:numPr>
                <w:ilvl w:val="0"/>
                <w:numId w:val="5"/>
              </w:numPr>
              <w:jc w:val="both"/>
              <w:rPr>
                <w:rFonts w:ascii="Arial" w:hAnsi="Arial" w:cs="Arial"/>
              </w:rPr>
            </w:pPr>
            <w:r w:rsidRPr="00BF31CB">
              <w:rPr>
                <w:rFonts w:ascii="Arial" w:hAnsi="Arial" w:cs="Arial"/>
              </w:rPr>
              <w:t xml:space="preserve">To carry out any other duties which are consistent with the nature, responsibilities and grading of the </w:t>
            </w:r>
            <w:proofErr w:type="gramStart"/>
            <w:r w:rsidRPr="00BF31CB">
              <w:rPr>
                <w:rFonts w:ascii="Arial" w:hAnsi="Arial" w:cs="Arial"/>
              </w:rPr>
              <w:t>post</w:t>
            </w:r>
            <w:r w:rsidR="00854374">
              <w:rPr>
                <w:rFonts w:ascii="Arial" w:hAnsi="Arial" w:cs="Arial"/>
              </w:rPr>
              <w:t>.</w:t>
            </w:r>
            <w:proofErr w:type="gramEnd"/>
          </w:p>
          <w:p w:rsidR="000E1E6C" w:rsidRDefault="000E1E6C" w:rsidP="000E1E6C"/>
        </w:tc>
      </w:tr>
    </w:tbl>
    <w:p w:rsidR="00EF3C07" w:rsidRDefault="00EF3C07"/>
    <w:p w:rsidR="000655AE" w:rsidRDefault="000655AE"/>
    <w:tbl>
      <w:tblPr>
        <w:tblStyle w:val="TableGrid"/>
        <w:tblW w:w="8755" w:type="dxa"/>
        <w:tblInd w:w="0" w:type="dxa"/>
        <w:tblLook w:val="04A0" w:firstRow="1" w:lastRow="0" w:firstColumn="1" w:lastColumn="0" w:noHBand="0" w:noVBand="1"/>
      </w:tblPr>
      <w:tblGrid>
        <w:gridCol w:w="3335"/>
        <w:gridCol w:w="1629"/>
        <w:gridCol w:w="3791"/>
      </w:tblGrid>
      <w:tr w:rsidR="00EF3C07" w:rsidTr="00EF3C07">
        <w:tc>
          <w:tcPr>
            <w:tcW w:w="8755"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EF3C07">
        <w:tc>
          <w:tcPr>
            <w:tcW w:w="8755"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54362E"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EF3C07">
        <w:tc>
          <w:tcPr>
            <w:tcW w:w="8755"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rsidR="004C578E" w:rsidRPr="008050AD" w:rsidRDefault="004C578E" w:rsidP="00EF3C07">
            <w:pPr>
              <w:rPr>
                <w:b/>
                <w:color w:val="000000" w:themeColor="text1"/>
              </w:rPr>
            </w:pPr>
          </w:p>
        </w:tc>
      </w:tr>
      <w:tr w:rsidR="008050AD" w:rsidTr="00DD348C">
        <w:tc>
          <w:tcPr>
            <w:tcW w:w="3335"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1629"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DD348C">
        <w:tc>
          <w:tcPr>
            <w:tcW w:w="3335"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1629" w:type="dxa"/>
          </w:tcPr>
          <w:p w:rsidR="008050AD" w:rsidRPr="007D7831" w:rsidRDefault="00E27AE8" w:rsidP="00B974D4">
            <w:pPr>
              <w:jc w:val="center"/>
              <w:rPr>
                <w:rFonts w:ascii="Arial" w:hAnsi="Arial" w:cs="Arial"/>
                <w:sz w:val="24"/>
                <w:szCs w:val="24"/>
              </w:rPr>
            </w:pPr>
            <w:r>
              <w:rPr>
                <w:rFonts w:ascii="Arial" w:hAnsi="Arial" w:cs="Arial"/>
                <w:sz w:val="24"/>
                <w:szCs w:val="24"/>
              </w:rPr>
              <w:t>1</w:t>
            </w:r>
          </w:p>
        </w:tc>
        <w:tc>
          <w:tcPr>
            <w:tcW w:w="3791"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1629" w:type="dxa"/>
          </w:tcPr>
          <w:p w:rsidR="004C578E" w:rsidRPr="007D7831" w:rsidRDefault="00E27AE8" w:rsidP="00B974D4">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8050AD">
        <w:tc>
          <w:tcPr>
            <w:tcW w:w="8755" w:type="dxa"/>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DD348C">
        <w:tc>
          <w:tcPr>
            <w:tcW w:w="3335"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1629" w:type="dxa"/>
          </w:tcPr>
          <w:p w:rsidR="008050AD" w:rsidRPr="007D7831" w:rsidRDefault="00E27AE8" w:rsidP="00B974D4">
            <w:pPr>
              <w:jc w:val="center"/>
              <w:rPr>
                <w:rFonts w:ascii="Arial" w:hAnsi="Arial" w:cs="Arial"/>
                <w:sz w:val="24"/>
                <w:szCs w:val="24"/>
              </w:rPr>
            </w:pPr>
            <w:r>
              <w:rPr>
                <w:rFonts w:ascii="Arial" w:hAnsi="Arial" w:cs="Arial"/>
                <w:sz w:val="24"/>
                <w:szCs w:val="24"/>
              </w:rPr>
              <w:t>1</w:t>
            </w:r>
          </w:p>
        </w:tc>
        <w:tc>
          <w:tcPr>
            <w:tcW w:w="3791" w:type="dxa"/>
          </w:tcPr>
          <w:p w:rsidR="008050AD" w:rsidRPr="007D7831" w:rsidRDefault="004C578E" w:rsidP="00EF3C07">
            <w:r w:rsidRPr="007D7831">
              <w:rPr>
                <w:rFonts w:ascii="Arial" w:hAnsi="Arial" w:cs="Arial"/>
                <w:sz w:val="24"/>
                <w:szCs w:val="24"/>
              </w:rPr>
              <w:t>Interview</w:t>
            </w:r>
          </w:p>
        </w:tc>
      </w:tr>
      <w:tr w:rsidR="004C578E" w:rsidTr="00DD348C">
        <w:tc>
          <w:tcPr>
            <w:tcW w:w="3335" w:type="dxa"/>
          </w:tcPr>
          <w:p w:rsidR="004C578E" w:rsidRPr="007D7831" w:rsidRDefault="004C578E" w:rsidP="00854374">
            <w:pPr>
              <w:rPr>
                <w:rFonts w:ascii="Arial" w:hAnsi="Arial" w:cs="Arial"/>
                <w:sz w:val="24"/>
                <w:szCs w:val="24"/>
              </w:rPr>
            </w:pPr>
            <w:r w:rsidRPr="007D7831">
              <w:rPr>
                <w:rFonts w:ascii="Arial" w:hAnsi="Arial" w:cs="Arial"/>
                <w:sz w:val="24"/>
                <w:szCs w:val="24"/>
              </w:rPr>
              <w:lastRenderedPageBreak/>
              <w:t>We deliver, support and inspire</w:t>
            </w:r>
          </w:p>
        </w:tc>
        <w:tc>
          <w:tcPr>
            <w:tcW w:w="1629" w:type="dxa"/>
          </w:tcPr>
          <w:p w:rsidR="004C578E" w:rsidRPr="007D7831" w:rsidRDefault="00E27AE8" w:rsidP="00B974D4">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0F50A5">
        <w:tc>
          <w:tcPr>
            <w:tcW w:w="8755" w:type="dxa"/>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1629" w:type="dxa"/>
          </w:tcPr>
          <w:p w:rsidR="004C578E" w:rsidRPr="007D7831" w:rsidRDefault="00B974D4" w:rsidP="00B974D4">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rsidR="004C578E" w:rsidRPr="007D7831" w:rsidRDefault="00B974D4" w:rsidP="00B974D4">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8755" w:type="dxa"/>
        <w:tblInd w:w="0" w:type="dxa"/>
        <w:tblLook w:val="04A0" w:firstRow="1" w:lastRow="0" w:firstColumn="1" w:lastColumn="0" w:noHBand="0" w:noVBand="1"/>
      </w:tblPr>
      <w:tblGrid>
        <w:gridCol w:w="4377"/>
        <w:gridCol w:w="4378"/>
      </w:tblGrid>
      <w:tr w:rsidR="00DD348C" w:rsidTr="0080066F">
        <w:tc>
          <w:tcPr>
            <w:tcW w:w="8755"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80066F">
        <w:tc>
          <w:tcPr>
            <w:tcW w:w="8755"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0B213C">
        <w:tc>
          <w:tcPr>
            <w:tcW w:w="4377" w:type="dxa"/>
          </w:tcPr>
          <w:p w:rsidR="00DD348C" w:rsidRPr="005465A3" w:rsidRDefault="00DD348C"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rsidR="00DD348C" w:rsidRPr="005465A3" w:rsidRDefault="00DD348C" w:rsidP="005465A3">
            <w:pPr>
              <w:jc w:val="center"/>
              <w:rPr>
                <w:rFonts w:ascii="Arial" w:hAnsi="Arial" w:cs="Arial"/>
                <w:b/>
                <w:color w:val="1F497D" w:themeColor="text2"/>
                <w:sz w:val="24"/>
                <w:szCs w:val="24"/>
              </w:rPr>
            </w:pPr>
          </w:p>
          <w:p w:rsidR="00DD348C" w:rsidRDefault="00DD348C" w:rsidP="005465A3">
            <w:pPr>
              <w:jc w:val="center"/>
              <w:rPr>
                <w:rFonts w:ascii="Arial" w:hAnsi="Arial" w:cs="Arial"/>
                <w:b/>
                <w:sz w:val="24"/>
                <w:szCs w:val="24"/>
              </w:rPr>
            </w:pPr>
            <w:r w:rsidRPr="000E1E6C">
              <w:rPr>
                <w:rFonts w:ascii="Arial" w:hAnsi="Arial" w:cs="Arial"/>
                <w:b/>
                <w:sz w:val="24"/>
                <w:szCs w:val="24"/>
              </w:rPr>
              <w:t>Impartiality</w:t>
            </w:r>
          </w:p>
          <w:p w:rsidR="0054362E" w:rsidRPr="005465A3" w:rsidRDefault="0054362E" w:rsidP="005465A3">
            <w:pPr>
              <w:jc w:val="center"/>
              <w:rPr>
                <w:rFonts w:ascii="Arial" w:hAnsi="Arial" w:cs="Arial"/>
                <w:b/>
                <w:color w:val="1F497D" w:themeColor="text2"/>
                <w:sz w:val="24"/>
                <w:szCs w:val="24"/>
              </w:rPr>
            </w:pPr>
          </w:p>
        </w:tc>
      </w:tr>
      <w:tr w:rsidR="00DD348C" w:rsidTr="00B970E5">
        <w:tc>
          <w:tcPr>
            <w:tcW w:w="4377"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p w:rsidR="000655AE" w:rsidRDefault="000655AE"/>
    <w:tbl>
      <w:tblPr>
        <w:tblStyle w:val="TableGrid"/>
        <w:tblW w:w="8755" w:type="dxa"/>
        <w:tblInd w:w="0" w:type="dxa"/>
        <w:tblLook w:val="04A0" w:firstRow="1" w:lastRow="0" w:firstColumn="1" w:lastColumn="0" w:noHBand="0" w:noVBand="1"/>
      </w:tblPr>
      <w:tblGrid>
        <w:gridCol w:w="3510"/>
        <w:gridCol w:w="2326"/>
        <w:gridCol w:w="2919"/>
      </w:tblGrid>
      <w:tr w:rsidR="004448EA" w:rsidTr="004448EA">
        <w:tc>
          <w:tcPr>
            <w:tcW w:w="8755" w:type="dxa"/>
            <w:gridSpan w:val="3"/>
            <w:shd w:val="clear" w:color="auto" w:fill="0070C0"/>
          </w:tcPr>
          <w:p w:rsidR="004448EA" w:rsidRPr="004448EA" w:rsidRDefault="004448EA" w:rsidP="00BA65F9">
            <w:pPr>
              <w:pStyle w:val="NoSpacing"/>
              <w:rPr>
                <w:rFonts w:ascii="Arial" w:hAnsi="Arial" w:cs="Arial"/>
                <w:b/>
              </w:rPr>
            </w:pPr>
            <w:r w:rsidRPr="004448EA">
              <w:rPr>
                <w:rFonts w:ascii="Arial" w:hAnsi="Arial" w:cs="Arial"/>
                <w:b/>
                <w:color w:val="FFFFFF" w:themeColor="background1"/>
              </w:rPr>
              <w:t>Knowledge/Experience</w:t>
            </w:r>
          </w:p>
        </w:tc>
      </w:tr>
      <w:tr w:rsidR="008D2938" w:rsidTr="00683AB4">
        <w:tc>
          <w:tcPr>
            <w:tcW w:w="3510" w:type="dxa"/>
          </w:tcPr>
          <w:p w:rsidR="008D2938" w:rsidRPr="000F50A5" w:rsidRDefault="008D2938" w:rsidP="00683AB4">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326" w:type="dxa"/>
          </w:tcPr>
          <w:p w:rsidR="008D2938" w:rsidRPr="000F50A5" w:rsidRDefault="008D2938" w:rsidP="00683AB4">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919" w:type="dxa"/>
          </w:tcPr>
          <w:p w:rsidR="008D2938" w:rsidRPr="000F50A5" w:rsidRDefault="008D2938" w:rsidP="00683AB4">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BA65F9" w:rsidTr="008E2C17">
        <w:tc>
          <w:tcPr>
            <w:tcW w:w="3510" w:type="dxa"/>
          </w:tcPr>
          <w:p w:rsidR="00BA65F9" w:rsidRPr="00BF31CB" w:rsidRDefault="00BA65F9" w:rsidP="00BA65F9">
            <w:pPr>
              <w:pStyle w:val="NoSpacing"/>
              <w:rPr>
                <w:rFonts w:ascii="Arial" w:hAnsi="Arial" w:cs="Arial"/>
              </w:rPr>
            </w:pPr>
            <w:r w:rsidRPr="00BF31CB">
              <w:rPr>
                <w:rFonts w:ascii="Arial" w:hAnsi="Arial" w:cs="Arial"/>
              </w:rPr>
              <w:t>Experience of working with minimal supervision, organising and prioritising own workload within a busy environment to ensure targets/deadlines are met</w:t>
            </w:r>
            <w:r>
              <w:rPr>
                <w:rFonts w:ascii="Arial" w:hAnsi="Arial" w:cs="Arial"/>
              </w:rPr>
              <w:t>.</w:t>
            </w:r>
          </w:p>
        </w:tc>
        <w:tc>
          <w:tcPr>
            <w:tcW w:w="2326" w:type="dxa"/>
          </w:tcPr>
          <w:p w:rsidR="00BA65F9" w:rsidRPr="00BF31CB" w:rsidRDefault="00BA65F9" w:rsidP="00BA65F9">
            <w:pPr>
              <w:pStyle w:val="NoSpacing"/>
              <w:rPr>
                <w:rFonts w:ascii="Arial" w:hAnsi="Arial" w:cs="Arial"/>
              </w:rPr>
            </w:pPr>
          </w:p>
        </w:tc>
        <w:tc>
          <w:tcPr>
            <w:tcW w:w="2919" w:type="dxa"/>
          </w:tcPr>
          <w:p w:rsidR="00BA65F9" w:rsidRPr="00BF31CB" w:rsidRDefault="00BA65F9" w:rsidP="00BA65F9">
            <w:pPr>
              <w:pStyle w:val="NoSpacing"/>
              <w:rPr>
                <w:rFonts w:ascii="Arial" w:hAnsi="Arial" w:cs="Arial"/>
              </w:rPr>
            </w:pPr>
            <w:r w:rsidRPr="00BF31CB">
              <w:rPr>
                <w:rFonts w:ascii="Arial" w:hAnsi="Arial" w:cs="Arial"/>
              </w:rPr>
              <w:t>Application Form/Interview</w:t>
            </w:r>
          </w:p>
        </w:tc>
      </w:tr>
      <w:tr w:rsidR="00BA65F9" w:rsidTr="008E2C17">
        <w:tc>
          <w:tcPr>
            <w:tcW w:w="3510" w:type="dxa"/>
          </w:tcPr>
          <w:p w:rsidR="00BA65F9" w:rsidRPr="00BF31CB" w:rsidRDefault="00BA65F9" w:rsidP="00BA65F9">
            <w:pPr>
              <w:pStyle w:val="NoSpacing"/>
              <w:rPr>
                <w:rFonts w:ascii="Arial" w:hAnsi="Arial" w:cs="Arial"/>
              </w:rPr>
            </w:pPr>
            <w:r w:rsidRPr="00BF31CB">
              <w:rPr>
                <w:rFonts w:ascii="Arial" w:hAnsi="Arial" w:cs="Arial"/>
              </w:rPr>
              <w:t>Experience of communicating with a range of individuals/organisations to obtain information either by telephone, in writing or face to face</w:t>
            </w:r>
            <w:r>
              <w:rPr>
                <w:rFonts w:ascii="Arial" w:hAnsi="Arial" w:cs="Arial"/>
              </w:rPr>
              <w:t>.</w:t>
            </w:r>
          </w:p>
        </w:tc>
        <w:tc>
          <w:tcPr>
            <w:tcW w:w="2326" w:type="dxa"/>
          </w:tcPr>
          <w:p w:rsidR="00BA65F9" w:rsidRPr="00BF31CB" w:rsidRDefault="00BA65F9" w:rsidP="00BA65F9">
            <w:pPr>
              <w:pStyle w:val="NoSpacing"/>
              <w:rPr>
                <w:rFonts w:ascii="Arial" w:hAnsi="Arial" w:cs="Arial"/>
              </w:rPr>
            </w:pPr>
          </w:p>
        </w:tc>
        <w:tc>
          <w:tcPr>
            <w:tcW w:w="2919" w:type="dxa"/>
          </w:tcPr>
          <w:p w:rsidR="00BA65F9" w:rsidRPr="00BF31CB" w:rsidRDefault="00BA65F9" w:rsidP="00BA65F9">
            <w:pPr>
              <w:pStyle w:val="NoSpacing"/>
              <w:rPr>
                <w:rFonts w:ascii="Arial" w:hAnsi="Arial" w:cs="Arial"/>
              </w:rPr>
            </w:pPr>
            <w:r w:rsidRPr="00BF31CB">
              <w:rPr>
                <w:rFonts w:ascii="Arial" w:hAnsi="Arial" w:cs="Arial"/>
              </w:rPr>
              <w:t>Application Form/Interview</w:t>
            </w:r>
          </w:p>
        </w:tc>
      </w:tr>
      <w:tr w:rsidR="00BA65F9" w:rsidTr="008E2C17">
        <w:tc>
          <w:tcPr>
            <w:tcW w:w="3510" w:type="dxa"/>
          </w:tcPr>
          <w:p w:rsidR="00BA65F9" w:rsidRPr="00BF31CB" w:rsidRDefault="00BA65F9" w:rsidP="00BA65F9">
            <w:pPr>
              <w:pStyle w:val="NoSpacing"/>
              <w:rPr>
                <w:rFonts w:ascii="Arial" w:hAnsi="Arial" w:cs="Arial"/>
              </w:rPr>
            </w:pPr>
            <w:r w:rsidRPr="00BF31CB">
              <w:rPr>
                <w:rFonts w:ascii="Arial" w:hAnsi="Arial" w:cs="Arial"/>
              </w:rPr>
              <w:t>Experience of assessing and evaluating information to extract relevant data in relation to decision making and presenting findings in a written format with a high level of accuracy and attention to detail</w:t>
            </w:r>
            <w:r>
              <w:rPr>
                <w:rFonts w:ascii="Arial" w:hAnsi="Arial" w:cs="Arial"/>
              </w:rPr>
              <w:t>.</w:t>
            </w:r>
          </w:p>
        </w:tc>
        <w:tc>
          <w:tcPr>
            <w:tcW w:w="2326" w:type="dxa"/>
          </w:tcPr>
          <w:p w:rsidR="00BA65F9" w:rsidRPr="00BF31CB" w:rsidRDefault="00BA65F9" w:rsidP="00BA65F9">
            <w:pPr>
              <w:pStyle w:val="NoSpacing"/>
              <w:rPr>
                <w:rFonts w:ascii="Arial" w:hAnsi="Arial" w:cs="Arial"/>
              </w:rPr>
            </w:pPr>
          </w:p>
        </w:tc>
        <w:tc>
          <w:tcPr>
            <w:tcW w:w="2919" w:type="dxa"/>
          </w:tcPr>
          <w:p w:rsidR="00BA65F9" w:rsidRPr="00BF31CB" w:rsidRDefault="00BA65F9" w:rsidP="00BA65F9">
            <w:pPr>
              <w:pStyle w:val="NoSpacing"/>
              <w:rPr>
                <w:rFonts w:ascii="Arial" w:hAnsi="Arial" w:cs="Arial"/>
              </w:rPr>
            </w:pPr>
            <w:r w:rsidRPr="00BF31CB">
              <w:rPr>
                <w:rFonts w:ascii="Arial" w:hAnsi="Arial" w:cs="Arial"/>
              </w:rPr>
              <w:t>Application Form/Interview</w:t>
            </w:r>
          </w:p>
        </w:tc>
      </w:tr>
      <w:tr w:rsidR="00BA65F9" w:rsidTr="00BA65F9">
        <w:trPr>
          <w:trHeight w:val="617"/>
        </w:trPr>
        <w:tc>
          <w:tcPr>
            <w:tcW w:w="3510" w:type="dxa"/>
          </w:tcPr>
          <w:p w:rsidR="00BA65F9" w:rsidRPr="00BF31CB" w:rsidRDefault="00BA65F9" w:rsidP="00BA65F9">
            <w:pPr>
              <w:pStyle w:val="NoSpacing"/>
              <w:rPr>
                <w:rFonts w:ascii="Arial" w:hAnsi="Arial" w:cs="Arial"/>
              </w:rPr>
            </w:pPr>
            <w:r w:rsidRPr="00BF31CB">
              <w:rPr>
                <w:rFonts w:ascii="Arial" w:hAnsi="Arial" w:cs="Arial"/>
              </w:rPr>
              <w:t>Experience of handling and maintaining confidential records in accordance with the Data Protection Principles</w:t>
            </w:r>
            <w:r>
              <w:rPr>
                <w:rFonts w:ascii="Arial" w:hAnsi="Arial" w:cs="Arial"/>
              </w:rPr>
              <w:t>.</w:t>
            </w:r>
          </w:p>
        </w:tc>
        <w:tc>
          <w:tcPr>
            <w:tcW w:w="2326" w:type="dxa"/>
          </w:tcPr>
          <w:p w:rsidR="00BA65F9" w:rsidRPr="00BF31CB" w:rsidRDefault="00BA65F9" w:rsidP="00BA65F9">
            <w:pPr>
              <w:pStyle w:val="NoSpacing"/>
              <w:rPr>
                <w:rFonts w:ascii="Arial" w:hAnsi="Arial" w:cs="Arial"/>
              </w:rPr>
            </w:pPr>
          </w:p>
        </w:tc>
        <w:tc>
          <w:tcPr>
            <w:tcW w:w="2919" w:type="dxa"/>
          </w:tcPr>
          <w:p w:rsidR="00BA65F9" w:rsidRPr="00BF31CB" w:rsidRDefault="00BA65F9" w:rsidP="00BA65F9">
            <w:pPr>
              <w:pStyle w:val="NoSpacing"/>
              <w:rPr>
                <w:rFonts w:ascii="Arial" w:hAnsi="Arial" w:cs="Arial"/>
              </w:rPr>
            </w:pPr>
            <w:r w:rsidRPr="00BF31CB">
              <w:rPr>
                <w:rFonts w:ascii="Arial" w:hAnsi="Arial" w:cs="Arial"/>
              </w:rPr>
              <w:t>Application Form/Interview</w:t>
            </w:r>
          </w:p>
        </w:tc>
      </w:tr>
      <w:tr w:rsidR="00BA65F9" w:rsidTr="008E2C17">
        <w:tc>
          <w:tcPr>
            <w:tcW w:w="3510" w:type="dxa"/>
          </w:tcPr>
          <w:p w:rsidR="00BA65F9" w:rsidRPr="00BF31CB" w:rsidRDefault="00BA65F9" w:rsidP="00BA65F9">
            <w:pPr>
              <w:pStyle w:val="NoSpacing"/>
              <w:rPr>
                <w:rFonts w:ascii="Arial" w:hAnsi="Arial" w:cs="Arial"/>
              </w:rPr>
            </w:pPr>
            <w:r w:rsidRPr="00BF31CB">
              <w:rPr>
                <w:rFonts w:ascii="Arial" w:hAnsi="Arial" w:cs="Arial"/>
              </w:rPr>
              <w:lastRenderedPageBreak/>
              <w:t>Experience of working effectively as part of a team to achieve shared objectives</w:t>
            </w:r>
            <w:r>
              <w:rPr>
                <w:rFonts w:ascii="Arial" w:hAnsi="Arial" w:cs="Arial"/>
              </w:rPr>
              <w:t>.</w:t>
            </w:r>
          </w:p>
        </w:tc>
        <w:tc>
          <w:tcPr>
            <w:tcW w:w="2326" w:type="dxa"/>
          </w:tcPr>
          <w:p w:rsidR="00BA65F9" w:rsidRPr="00BF31CB" w:rsidRDefault="00BA65F9" w:rsidP="00BA65F9">
            <w:pPr>
              <w:pStyle w:val="NoSpacing"/>
              <w:rPr>
                <w:rFonts w:ascii="Arial" w:hAnsi="Arial" w:cs="Arial"/>
              </w:rPr>
            </w:pPr>
          </w:p>
        </w:tc>
        <w:tc>
          <w:tcPr>
            <w:tcW w:w="2919" w:type="dxa"/>
          </w:tcPr>
          <w:p w:rsidR="00BA65F9" w:rsidRPr="00BF31CB" w:rsidRDefault="00BA65F9" w:rsidP="00BA65F9">
            <w:pPr>
              <w:pStyle w:val="NoSpacing"/>
              <w:rPr>
                <w:rFonts w:ascii="Arial" w:hAnsi="Arial" w:cs="Arial"/>
              </w:rPr>
            </w:pPr>
            <w:r w:rsidRPr="00BF31CB">
              <w:rPr>
                <w:rFonts w:ascii="Arial" w:hAnsi="Arial" w:cs="Arial"/>
              </w:rPr>
              <w:t>Application Form/Interview</w:t>
            </w:r>
          </w:p>
        </w:tc>
      </w:tr>
      <w:tr w:rsidR="00BA65F9" w:rsidTr="008E2C17">
        <w:tc>
          <w:tcPr>
            <w:tcW w:w="3510" w:type="dxa"/>
          </w:tcPr>
          <w:p w:rsidR="00BA65F9" w:rsidRPr="00BF31CB" w:rsidRDefault="00BA65F9" w:rsidP="00BA65F9">
            <w:pPr>
              <w:pStyle w:val="NoSpacing"/>
              <w:rPr>
                <w:rFonts w:ascii="Arial" w:hAnsi="Arial" w:cs="Arial"/>
              </w:rPr>
            </w:pPr>
            <w:r w:rsidRPr="00BF31CB">
              <w:rPr>
                <w:rFonts w:ascii="Arial" w:hAnsi="Arial" w:cs="Arial"/>
              </w:rPr>
              <w:t>Experience of using Microsoft Software Applications, including MS Office – Word, Excel and Outlook as well as competent keyboard skills</w:t>
            </w:r>
            <w:r>
              <w:rPr>
                <w:rFonts w:ascii="Arial" w:hAnsi="Arial" w:cs="Arial"/>
              </w:rPr>
              <w:t>.</w:t>
            </w:r>
          </w:p>
        </w:tc>
        <w:tc>
          <w:tcPr>
            <w:tcW w:w="2326" w:type="dxa"/>
          </w:tcPr>
          <w:p w:rsidR="00BA65F9" w:rsidRPr="00BF31CB" w:rsidRDefault="00BA65F9" w:rsidP="00BA65F9">
            <w:pPr>
              <w:pStyle w:val="NoSpacing"/>
              <w:rPr>
                <w:rFonts w:ascii="Arial" w:hAnsi="Arial" w:cs="Arial"/>
              </w:rPr>
            </w:pPr>
          </w:p>
        </w:tc>
        <w:tc>
          <w:tcPr>
            <w:tcW w:w="2919" w:type="dxa"/>
          </w:tcPr>
          <w:p w:rsidR="00BA65F9" w:rsidRPr="00BF31CB" w:rsidRDefault="00BA65F9" w:rsidP="00BA65F9">
            <w:pPr>
              <w:pStyle w:val="NoSpacing"/>
              <w:rPr>
                <w:rFonts w:ascii="Arial" w:hAnsi="Arial" w:cs="Arial"/>
              </w:rPr>
            </w:pPr>
            <w:r w:rsidRPr="00BF31CB">
              <w:rPr>
                <w:rFonts w:ascii="Arial" w:hAnsi="Arial" w:cs="Arial"/>
              </w:rPr>
              <w:t>Application Form</w:t>
            </w:r>
          </w:p>
        </w:tc>
      </w:tr>
      <w:tr w:rsidR="00BA65F9" w:rsidTr="008E2C17">
        <w:tc>
          <w:tcPr>
            <w:tcW w:w="8755" w:type="dxa"/>
            <w:gridSpan w:val="3"/>
            <w:shd w:val="clear" w:color="auto" w:fill="4F81BD" w:themeFill="accent1"/>
          </w:tcPr>
          <w:p w:rsidR="00BA65F9" w:rsidRPr="008E2C17" w:rsidRDefault="00BA65F9" w:rsidP="000F50A5">
            <w:pPr>
              <w:rPr>
                <w:rFonts w:ascii="Arial" w:hAnsi="Arial" w:cs="Arial"/>
                <w:color w:val="1F497D" w:themeColor="text2"/>
                <w:sz w:val="24"/>
                <w:szCs w:val="24"/>
              </w:rPr>
            </w:pPr>
            <w:r w:rsidRPr="008E2C17">
              <w:rPr>
                <w:rFonts w:ascii="Arial" w:hAnsi="Arial" w:cs="Arial"/>
                <w:color w:val="FFFFFF" w:themeColor="background1"/>
                <w:sz w:val="24"/>
                <w:szCs w:val="24"/>
              </w:rPr>
              <w:t>Other</w:t>
            </w:r>
          </w:p>
        </w:tc>
      </w:tr>
      <w:tr w:rsidR="00BA65F9" w:rsidTr="008E2C17">
        <w:tc>
          <w:tcPr>
            <w:tcW w:w="3510" w:type="dxa"/>
          </w:tcPr>
          <w:p w:rsidR="00BA65F9" w:rsidRPr="007D7831" w:rsidRDefault="00BA65F9" w:rsidP="00BA5D5F">
            <w:pPr>
              <w:rPr>
                <w:rFonts w:ascii="Arial" w:hAnsi="Arial" w:cs="Arial"/>
                <w:sz w:val="24"/>
                <w:szCs w:val="24"/>
              </w:rPr>
            </w:pPr>
            <w:r w:rsidRPr="007D7831">
              <w:rPr>
                <w:rFonts w:ascii="Arial" w:hAnsi="Arial" w:cs="Arial"/>
                <w:sz w:val="24"/>
                <w:szCs w:val="24"/>
              </w:rPr>
              <w:t>An acceptable level of sickness absence in accordance with the Constabulary’s Attendance Policy.</w:t>
            </w:r>
          </w:p>
        </w:tc>
        <w:tc>
          <w:tcPr>
            <w:tcW w:w="2326" w:type="dxa"/>
          </w:tcPr>
          <w:p w:rsidR="00BA65F9" w:rsidRPr="007D7831" w:rsidRDefault="00BA65F9" w:rsidP="000F50A5">
            <w:pPr>
              <w:rPr>
                <w:rFonts w:ascii="Arial" w:hAnsi="Arial" w:cs="Arial"/>
                <w:sz w:val="24"/>
                <w:szCs w:val="24"/>
              </w:rPr>
            </w:pPr>
          </w:p>
        </w:tc>
        <w:tc>
          <w:tcPr>
            <w:tcW w:w="2919" w:type="dxa"/>
          </w:tcPr>
          <w:p w:rsidR="00BA65F9" w:rsidRPr="007D7831" w:rsidRDefault="00BA65F9" w:rsidP="000F50A5">
            <w:pPr>
              <w:rPr>
                <w:rFonts w:ascii="Arial" w:hAnsi="Arial" w:cs="Arial"/>
                <w:sz w:val="24"/>
                <w:szCs w:val="24"/>
              </w:rPr>
            </w:pPr>
            <w:r w:rsidRPr="007D7831">
              <w:rPr>
                <w:rFonts w:ascii="Arial" w:hAnsi="Arial" w:cs="Arial"/>
                <w:sz w:val="24"/>
                <w:szCs w:val="24"/>
              </w:rPr>
              <w:t>Attendance to be checked post interview by Recruitment for internal staff, via references for external applicants</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BA65F9" w:rsidRDefault="00827A78" w:rsidP="00827A78">
      <w:pPr>
        <w:overflowPunct/>
        <w:autoSpaceDE/>
        <w:autoSpaceDN/>
        <w:adjustRightInd/>
        <w:jc w:val="both"/>
        <w:textAlignment w:val="auto"/>
        <w:rPr>
          <w:rFonts w:ascii="Arial" w:eastAsiaTheme="minorHAnsi" w:hAnsi="Arial" w:cs="Arial"/>
          <w:sz w:val="32"/>
          <w:szCs w:val="24"/>
          <w:lang w:eastAsia="en-US"/>
        </w:rPr>
      </w:pPr>
      <w:r w:rsidRPr="00BA65F9">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BA65F9">
        <w:rPr>
          <w:rFonts w:ascii="Arial" w:eastAsiaTheme="minorHAnsi" w:hAnsi="Arial" w:cs="Arial"/>
          <w:sz w:val="24"/>
          <w:lang w:eastAsia="en-US"/>
        </w:rPr>
        <w:tab/>
        <w:t xml:space="preserve"> </w:t>
      </w:r>
    </w:p>
    <w:p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296B09">
        <w:rPr>
          <w:rFonts w:ascii="Arial" w:eastAsiaTheme="minorHAnsi" w:hAnsi="Arial" w:cs="Arial"/>
          <w:b/>
          <w:sz w:val="24"/>
          <w:szCs w:val="24"/>
          <w:lang w:eastAsia="en-US"/>
        </w:rPr>
        <w:t>October</w:t>
      </w:r>
      <w:r w:rsidRPr="007D7831">
        <w:rPr>
          <w:rFonts w:ascii="Arial" w:eastAsiaTheme="minorHAnsi" w:hAnsi="Arial" w:cs="Arial"/>
          <w:b/>
          <w:sz w:val="24"/>
          <w:szCs w:val="24"/>
          <w:lang w:eastAsia="en-US"/>
        </w:rPr>
        <w:t xml:space="preserve"> 2018</w:t>
      </w:r>
    </w:p>
    <w:sectPr w:rsidR="000F50A5" w:rsidRPr="007D7831" w:rsidSect="00827A78">
      <w:headerReference w:type="even" r:id="rId11"/>
      <w:headerReference w:type="default" r:id="rId12"/>
      <w:footerReference w:type="even" r:id="rId13"/>
      <w:footerReference w:type="default" r:id="rId14"/>
      <w:headerReference w:type="first" r:id="rId15"/>
      <w:footerReference w:type="first" r:id="rId16"/>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50" w:rsidRDefault="00AB2750" w:rsidP="008345DE">
      <w:r>
        <w:separator/>
      </w:r>
    </w:p>
  </w:endnote>
  <w:endnote w:type="continuationSeparator" w:id="0">
    <w:p w:rsidR="00AB2750" w:rsidRDefault="00AB2750"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50" w:rsidRDefault="00AB2750" w:rsidP="008345DE">
      <w:r>
        <w:separator/>
      </w:r>
    </w:p>
  </w:footnote>
  <w:footnote w:type="continuationSeparator" w:id="0">
    <w:p w:rsidR="00AB2750" w:rsidRDefault="00AB2750" w:rsidP="0083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9C1B3C"/>
    <w:multiLevelType w:val="hybridMultilevel"/>
    <w:tmpl w:val="F4B21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250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50C3"/>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5FD9"/>
    <w:rsid w:val="003566A2"/>
    <w:rsid w:val="003569B7"/>
    <w:rsid w:val="00356ABF"/>
    <w:rsid w:val="00357717"/>
    <w:rsid w:val="00357FC3"/>
    <w:rsid w:val="00360590"/>
    <w:rsid w:val="00362055"/>
    <w:rsid w:val="00367A94"/>
    <w:rsid w:val="00374041"/>
    <w:rsid w:val="00374E5A"/>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BBB"/>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8EA"/>
    <w:rsid w:val="00444CDE"/>
    <w:rsid w:val="004452EB"/>
    <w:rsid w:val="00451505"/>
    <w:rsid w:val="004517C2"/>
    <w:rsid w:val="004525A8"/>
    <w:rsid w:val="00452E69"/>
    <w:rsid w:val="00453A47"/>
    <w:rsid w:val="00456B43"/>
    <w:rsid w:val="00457256"/>
    <w:rsid w:val="0045785B"/>
    <w:rsid w:val="004578AE"/>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62E"/>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4374"/>
    <w:rsid w:val="008555A0"/>
    <w:rsid w:val="00855E23"/>
    <w:rsid w:val="00857D1E"/>
    <w:rsid w:val="00860B24"/>
    <w:rsid w:val="00862D6C"/>
    <w:rsid w:val="00863125"/>
    <w:rsid w:val="00863144"/>
    <w:rsid w:val="00863256"/>
    <w:rsid w:val="0086453F"/>
    <w:rsid w:val="00864AAF"/>
    <w:rsid w:val="00865E9C"/>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938"/>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2420"/>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974D4"/>
    <w:rsid w:val="00BA0D92"/>
    <w:rsid w:val="00BA0F3C"/>
    <w:rsid w:val="00BA1521"/>
    <w:rsid w:val="00BA1D08"/>
    <w:rsid w:val="00BA264B"/>
    <w:rsid w:val="00BA5D5F"/>
    <w:rsid w:val="00BA65F9"/>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27AE8"/>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7861"/>
    <w:rsid w:val="00E87B4F"/>
    <w:rsid w:val="00E900BA"/>
    <w:rsid w:val="00E91449"/>
    <w:rsid w:val="00E922D5"/>
    <w:rsid w:val="00E9340B"/>
    <w:rsid w:val="00E94434"/>
    <w:rsid w:val="00E97E3C"/>
    <w:rsid w:val="00EA14C6"/>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5222"/>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NoSpacing">
    <w:name w:val="No Spacing"/>
    <w:uiPriority w:val="1"/>
    <w:qFormat/>
    <w:rsid w:val="00BA65F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NoSpacing">
    <w:name w:val="No Spacing"/>
    <w:uiPriority w:val="1"/>
    <w:qFormat/>
    <w:rsid w:val="00BA65F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B3E9-C4C9-4E57-99D8-F550D083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930</Words>
  <Characters>5564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11267</cp:lastModifiedBy>
  <cp:revision>6</cp:revision>
  <cp:lastPrinted>2018-08-14T16:21:00Z</cp:lastPrinted>
  <dcterms:created xsi:type="dcterms:W3CDTF">2018-10-23T13:38:00Z</dcterms:created>
  <dcterms:modified xsi:type="dcterms:W3CDTF">2020-01-24T09:31:00Z</dcterms:modified>
</cp:coreProperties>
</file>