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AB22" w14:textId="77777777" w:rsidR="00B92E30" w:rsidRPr="00B95673" w:rsidRDefault="00B92E30" w:rsidP="00B92E30">
      <w:pPr>
        <w:pStyle w:val="Footer"/>
        <w:tabs>
          <w:tab w:val="clear" w:pos="4153"/>
          <w:tab w:val="clear" w:pos="8306"/>
        </w:tabs>
        <w:rPr>
          <w:szCs w:val="24"/>
        </w:rPr>
      </w:pPr>
    </w:p>
    <w:tbl>
      <w:tblPr>
        <w:tblpPr w:leftFromText="180" w:rightFromText="180" w:horzAnchor="margin" w:tblpY="-465"/>
        <w:tblW w:w="9519" w:type="dxa"/>
        <w:tblLook w:val="04A0" w:firstRow="1" w:lastRow="0" w:firstColumn="1" w:lastColumn="0" w:noHBand="0" w:noVBand="1"/>
      </w:tblPr>
      <w:tblGrid>
        <w:gridCol w:w="4672"/>
        <w:gridCol w:w="4847"/>
      </w:tblGrid>
      <w:tr w:rsidR="00B92E30" w:rsidRPr="00F97E27" w14:paraId="51F5B464" w14:textId="77777777" w:rsidTr="00722AD1">
        <w:trPr>
          <w:trHeight w:val="1290"/>
        </w:trPr>
        <w:tc>
          <w:tcPr>
            <w:tcW w:w="4672" w:type="dxa"/>
            <w:shd w:val="clear" w:color="auto" w:fill="auto"/>
            <w:hideMark/>
          </w:tcPr>
          <w:p w14:paraId="0E1D1E02" w14:textId="0074EE85" w:rsidR="00B92E30" w:rsidRDefault="00BD3A62" w:rsidP="00722AD1">
            <w:r>
              <w:rPr>
                <w:noProof/>
              </w:rPr>
              <w:drawing>
                <wp:inline distT="0" distB="0" distL="0" distR="0" wp14:anchorId="20EF0836" wp14:editId="295F4D15">
                  <wp:extent cx="1000125" cy="10001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tc>
        <w:tc>
          <w:tcPr>
            <w:tcW w:w="4847" w:type="dxa"/>
            <w:shd w:val="clear" w:color="auto" w:fill="auto"/>
            <w:hideMark/>
          </w:tcPr>
          <w:p w14:paraId="0E14E083" w14:textId="785156C4" w:rsidR="00B92E30" w:rsidRDefault="00BD3A62" w:rsidP="00722AD1">
            <w:pPr>
              <w:jc w:val="right"/>
            </w:pPr>
            <w:r>
              <w:rPr>
                <w:noProof/>
              </w:rPr>
              <w:drawing>
                <wp:inline distT="0" distB="0" distL="0" distR="0" wp14:anchorId="637A94C9" wp14:editId="24CB89BB">
                  <wp:extent cx="1922920" cy="1069160"/>
                  <wp:effectExtent l="0" t="0" r="127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198" cy="1085439"/>
                          </a:xfrm>
                          <a:prstGeom prst="rect">
                            <a:avLst/>
                          </a:prstGeom>
                        </pic:spPr>
                      </pic:pic>
                    </a:graphicData>
                  </a:graphic>
                </wp:inline>
              </w:drawing>
            </w:r>
          </w:p>
        </w:tc>
      </w:tr>
    </w:tbl>
    <w:p w14:paraId="5A164003" w14:textId="77777777" w:rsidR="00B92E30" w:rsidRDefault="00B92E30" w:rsidP="00B92E30">
      <w:pPr>
        <w:ind w:left="426"/>
      </w:pPr>
    </w:p>
    <w:p w14:paraId="22A28B35" w14:textId="77777777" w:rsidR="00B92E30" w:rsidRDefault="00B92E30" w:rsidP="00B92E30">
      <w:pPr>
        <w:ind w:left="426"/>
        <w:jc w:val="center"/>
        <w:rPr>
          <w:rFonts w:ascii="Arial" w:hAnsi="Arial" w:cs="Arial"/>
          <w:b/>
          <w:sz w:val="28"/>
          <w:szCs w:val="28"/>
        </w:rPr>
      </w:pPr>
      <w:r>
        <w:rPr>
          <w:rFonts w:ascii="Arial" w:hAnsi="Arial" w:cs="Arial"/>
          <w:b/>
          <w:sz w:val="28"/>
          <w:szCs w:val="28"/>
        </w:rPr>
        <w:t>Politically Restricted Posts</w:t>
      </w:r>
    </w:p>
    <w:p w14:paraId="50C33B1B" w14:textId="77777777" w:rsidR="00B92E30" w:rsidRDefault="00B92E30" w:rsidP="00B92E30">
      <w:pPr>
        <w:jc w:val="center"/>
        <w:rPr>
          <w:rFonts w:ascii="Arial" w:hAnsi="Arial" w:cs="Arial"/>
          <w:b/>
        </w:rPr>
      </w:pPr>
    </w:p>
    <w:p w14:paraId="6CBF6641" w14:textId="77777777" w:rsidR="00B92E30" w:rsidRDefault="00B92E30" w:rsidP="00B92E30">
      <w:pPr>
        <w:rPr>
          <w:rFonts w:ascii="Arial" w:hAnsi="Arial" w:cs="Arial"/>
          <w:b/>
        </w:rPr>
      </w:pPr>
      <w:r>
        <w:rPr>
          <w:rFonts w:ascii="Arial" w:hAnsi="Arial" w:cs="Arial"/>
          <w:b/>
        </w:rPr>
        <w:t>What is a politically restricted post?</w:t>
      </w:r>
    </w:p>
    <w:p w14:paraId="05C2B797" w14:textId="77777777" w:rsidR="00B92E30" w:rsidRDefault="00B92E30" w:rsidP="00B92E30">
      <w:pPr>
        <w:rPr>
          <w:rFonts w:ascii="Arial" w:hAnsi="Arial" w:cs="Arial"/>
          <w:b/>
        </w:rPr>
      </w:pPr>
    </w:p>
    <w:p w14:paraId="1A09C598" w14:textId="77777777" w:rsidR="00B92E30" w:rsidRDefault="00B92E30" w:rsidP="00B92E30">
      <w:pPr>
        <w:jc w:val="both"/>
        <w:rPr>
          <w:rFonts w:ascii="Arial" w:hAnsi="Arial" w:cs="Arial"/>
        </w:rPr>
      </w:pPr>
      <w:r>
        <w:rPr>
          <w:rFonts w:ascii="Arial" w:hAnsi="Arial" w:cs="Arial"/>
        </w:rPr>
        <w:t>Under the provisions of the Local Government and Housing Act 1989 (as amended)</w:t>
      </w:r>
      <w:r>
        <w:rPr>
          <w:rStyle w:val="FootnoteReference"/>
          <w:rFonts w:ascii="Arial" w:hAnsi="Arial" w:cs="Arial"/>
        </w:rPr>
        <w:footnoteReference w:id="1"/>
      </w:r>
      <w:r>
        <w:rPr>
          <w:rFonts w:ascii="Arial" w:hAnsi="Arial" w:cs="Arial"/>
        </w:rPr>
        <w:t xml:space="preserve">, all employees of the Police &amp; Crime Commissioner, </w:t>
      </w:r>
      <w:r>
        <w:rPr>
          <w:rFonts w:ascii="Arial" w:hAnsi="Arial" w:cs="Arial"/>
          <w:lang w:val="en"/>
        </w:rPr>
        <w:t xml:space="preserve">except for the Deputy Police and Crime Commissioner, </w:t>
      </w:r>
      <w:r>
        <w:rPr>
          <w:rFonts w:ascii="Arial" w:hAnsi="Arial" w:cs="Arial"/>
        </w:rPr>
        <w:t>are subject to restrictions on the political activities they are able to undertake e.g. political membership of a local authority. In addition, the Local Government Officers (Political Restrictions) Regulations 1990 specify certain other political activities which the holder of a politically restricted post cannot undertake such as canvassing.</w:t>
      </w:r>
    </w:p>
    <w:p w14:paraId="03EE125E" w14:textId="77777777" w:rsidR="00B92E30" w:rsidRDefault="00B92E30" w:rsidP="00B92E30">
      <w:pPr>
        <w:jc w:val="both"/>
        <w:rPr>
          <w:rFonts w:ascii="Arial" w:hAnsi="Arial" w:cs="Arial"/>
          <w:b/>
        </w:rPr>
      </w:pPr>
    </w:p>
    <w:p w14:paraId="5F4351D3" w14:textId="77777777" w:rsidR="00B92E30" w:rsidRDefault="00B92E30" w:rsidP="00B92E30">
      <w:pPr>
        <w:jc w:val="both"/>
        <w:rPr>
          <w:rFonts w:ascii="Arial" w:hAnsi="Arial" w:cs="Arial"/>
          <w:b/>
        </w:rPr>
      </w:pPr>
      <w:r>
        <w:rPr>
          <w:rFonts w:ascii="Arial" w:hAnsi="Arial" w:cs="Arial"/>
          <w:b/>
        </w:rPr>
        <w:t>What activities are restricted?</w:t>
      </w:r>
    </w:p>
    <w:p w14:paraId="34A6F5E7" w14:textId="77777777" w:rsidR="00B92E30" w:rsidRDefault="00B92E30" w:rsidP="00B92E30">
      <w:pPr>
        <w:jc w:val="both"/>
        <w:rPr>
          <w:rFonts w:ascii="Arial" w:hAnsi="Arial" w:cs="Arial"/>
          <w:b/>
        </w:rPr>
      </w:pPr>
    </w:p>
    <w:p w14:paraId="04346820" w14:textId="77777777" w:rsidR="00B92E30" w:rsidRDefault="00B92E30" w:rsidP="00B92E30">
      <w:pPr>
        <w:jc w:val="both"/>
        <w:rPr>
          <w:rFonts w:ascii="Arial" w:hAnsi="Arial" w:cs="Arial"/>
        </w:rPr>
      </w:pPr>
      <w:r>
        <w:rPr>
          <w:rFonts w:ascii="Arial" w:hAnsi="Arial" w:cs="Arial"/>
        </w:rPr>
        <w:t>Where a post is politically restricted the holder shall not:</w:t>
      </w:r>
    </w:p>
    <w:p w14:paraId="698B58DB" w14:textId="77777777" w:rsidR="00B92E30" w:rsidRDefault="00B92E30" w:rsidP="00B92E30">
      <w:pPr>
        <w:jc w:val="both"/>
        <w:rPr>
          <w:rFonts w:ascii="Arial" w:hAnsi="Arial" w:cs="Arial"/>
        </w:rPr>
      </w:pPr>
    </w:p>
    <w:p w14:paraId="21DCC378" w14:textId="77777777" w:rsidR="00B92E30" w:rsidRDefault="00B92E30" w:rsidP="00B92E30">
      <w:pPr>
        <w:numPr>
          <w:ilvl w:val="0"/>
          <w:numId w:val="1"/>
        </w:numPr>
        <w:jc w:val="both"/>
        <w:rPr>
          <w:rFonts w:ascii="Arial" w:hAnsi="Arial" w:cs="Arial"/>
        </w:rPr>
      </w:pPr>
      <w:r>
        <w:rPr>
          <w:rFonts w:ascii="Arial" w:hAnsi="Arial" w:cs="Arial"/>
        </w:rPr>
        <w:t>Stand as a member of:</w:t>
      </w:r>
    </w:p>
    <w:p w14:paraId="2D439A60" w14:textId="77777777" w:rsidR="00B92E30" w:rsidRDefault="00B92E30" w:rsidP="00B92E30">
      <w:pPr>
        <w:numPr>
          <w:ilvl w:val="1"/>
          <w:numId w:val="1"/>
        </w:numPr>
        <w:jc w:val="both"/>
        <w:rPr>
          <w:rFonts w:ascii="Arial" w:hAnsi="Arial" w:cs="Arial"/>
        </w:rPr>
      </w:pPr>
      <w:r>
        <w:rPr>
          <w:rFonts w:ascii="Arial" w:hAnsi="Arial" w:cs="Arial"/>
        </w:rPr>
        <w:t>The House of Commons;</w:t>
      </w:r>
    </w:p>
    <w:p w14:paraId="15862F2B" w14:textId="77777777" w:rsidR="00B92E30" w:rsidRDefault="00B92E30" w:rsidP="00B92E30">
      <w:pPr>
        <w:numPr>
          <w:ilvl w:val="1"/>
          <w:numId w:val="1"/>
        </w:numPr>
        <w:jc w:val="both"/>
        <w:rPr>
          <w:rFonts w:ascii="Arial" w:hAnsi="Arial" w:cs="Arial"/>
        </w:rPr>
      </w:pPr>
      <w:r>
        <w:rPr>
          <w:rFonts w:ascii="Arial" w:hAnsi="Arial" w:cs="Arial"/>
        </w:rPr>
        <w:t>The European Parliament; or</w:t>
      </w:r>
    </w:p>
    <w:p w14:paraId="57CC3360" w14:textId="77777777" w:rsidR="00B92E30" w:rsidRDefault="00B92E30" w:rsidP="00B92E30">
      <w:pPr>
        <w:numPr>
          <w:ilvl w:val="1"/>
          <w:numId w:val="1"/>
        </w:numPr>
        <w:jc w:val="both"/>
        <w:rPr>
          <w:rFonts w:ascii="Arial" w:hAnsi="Arial" w:cs="Arial"/>
        </w:rPr>
      </w:pPr>
      <w:r>
        <w:rPr>
          <w:rFonts w:ascii="Arial" w:hAnsi="Arial" w:cs="Arial"/>
        </w:rPr>
        <w:t>A local authority.</w:t>
      </w:r>
      <w:r>
        <w:rPr>
          <w:rStyle w:val="FootnoteReference"/>
          <w:rFonts w:ascii="Arial" w:hAnsi="Arial" w:cs="Arial"/>
        </w:rPr>
        <w:footnoteReference w:id="2"/>
      </w:r>
      <w:r>
        <w:rPr>
          <w:rFonts w:ascii="Arial" w:hAnsi="Arial" w:cs="Arial"/>
        </w:rPr>
        <w:t xml:space="preserve"> </w:t>
      </w:r>
    </w:p>
    <w:p w14:paraId="4FDBD0E7" w14:textId="77777777" w:rsidR="00B92E30" w:rsidRDefault="00B92E30" w:rsidP="00B92E30">
      <w:pPr>
        <w:ind w:left="1440"/>
        <w:jc w:val="both"/>
        <w:rPr>
          <w:rFonts w:ascii="Arial" w:hAnsi="Arial" w:cs="Arial"/>
        </w:rPr>
      </w:pPr>
    </w:p>
    <w:p w14:paraId="3EE9FE64" w14:textId="77777777" w:rsidR="00B92E30" w:rsidRDefault="00B92E30" w:rsidP="00B92E30">
      <w:pPr>
        <w:numPr>
          <w:ilvl w:val="0"/>
          <w:numId w:val="1"/>
        </w:numPr>
        <w:jc w:val="both"/>
        <w:rPr>
          <w:rFonts w:ascii="Arial" w:hAnsi="Arial" w:cs="Arial"/>
        </w:rPr>
      </w:pPr>
      <w:r>
        <w:rPr>
          <w:rFonts w:ascii="Arial" w:hAnsi="Arial" w:cs="Arial"/>
        </w:rPr>
        <w:t>Act as an election agent or sub-agent for a candidate for Parliament, European Parliament or a local authority.</w:t>
      </w:r>
    </w:p>
    <w:p w14:paraId="31D11F51" w14:textId="77777777" w:rsidR="00B92E30" w:rsidRDefault="00B92E30" w:rsidP="00B92E30">
      <w:pPr>
        <w:ind w:left="720"/>
        <w:jc w:val="both"/>
        <w:rPr>
          <w:rFonts w:ascii="Arial" w:hAnsi="Arial" w:cs="Arial"/>
        </w:rPr>
      </w:pPr>
    </w:p>
    <w:p w14:paraId="3EAB29DD" w14:textId="77777777" w:rsidR="00B92E30" w:rsidRDefault="00B92E30" w:rsidP="00B92E30">
      <w:pPr>
        <w:numPr>
          <w:ilvl w:val="0"/>
          <w:numId w:val="1"/>
        </w:numPr>
        <w:jc w:val="both"/>
        <w:rPr>
          <w:rFonts w:ascii="Arial" w:hAnsi="Arial" w:cs="Arial"/>
        </w:rPr>
      </w:pPr>
      <w:r>
        <w:rPr>
          <w:rFonts w:ascii="Arial" w:hAnsi="Arial" w:cs="Arial"/>
        </w:rPr>
        <w:t>Be an officer of a political party or of any branch of such a party or a member of any committee or sub-committee of such a party or branch if his/her duties as such an officer or member would be likely to require him/her:</w:t>
      </w:r>
    </w:p>
    <w:p w14:paraId="4771C90B" w14:textId="77777777" w:rsidR="00B92E30" w:rsidRDefault="00B92E30" w:rsidP="00B92E30">
      <w:pPr>
        <w:numPr>
          <w:ilvl w:val="1"/>
          <w:numId w:val="1"/>
        </w:numPr>
        <w:jc w:val="both"/>
        <w:rPr>
          <w:rFonts w:ascii="Arial" w:hAnsi="Arial" w:cs="Arial"/>
        </w:rPr>
      </w:pPr>
      <w:r>
        <w:rPr>
          <w:rFonts w:ascii="Arial" w:hAnsi="Arial" w:cs="Arial"/>
        </w:rPr>
        <w:t xml:space="preserve">to participate in the general management of the party or the branch; or </w:t>
      </w:r>
    </w:p>
    <w:p w14:paraId="733A88F4" w14:textId="77777777" w:rsidR="00B92E30" w:rsidRDefault="00B92E30" w:rsidP="00B92E30">
      <w:pPr>
        <w:numPr>
          <w:ilvl w:val="1"/>
          <w:numId w:val="1"/>
        </w:numPr>
        <w:jc w:val="both"/>
        <w:rPr>
          <w:rFonts w:ascii="Arial" w:hAnsi="Arial" w:cs="Arial"/>
        </w:rPr>
      </w:pPr>
      <w:r>
        <w:rPr>
          <w:rFonts w:ascii="Arial" w:hAnsi="Arial" w:cs="Arial"/>
        </w:rPr>
        <w:t>to act on behalf of the party or branch in dealings with persons other than members of the party or members of another political party associated with the party.</w:t>
      </w:r>
    </w:p>
    <w:p w14:paraId="27A4F04E" w14:textId="77777777" w:rsidR="00B92E30" w:rsidRDefault="00B92E30" w:rsidP="00B92E30">
      <w:pPr>
        <w:ind w:left="1440"/>
        <w:jc w:val="both"/>
        <w:rPr>
          <w:rFonts w:ascii="Arial" w:hAnsi="Arial" w:cs="Arial"/>
        </w:rPr>
      </w:pPr>
    </w:p>
    <w:p w14:paraId="7DA396F5" w14:textId="77777777" w:rsidR="00B92E30" w:rsidRDefault="00B92E30" w:rsidP="00B92E30">
      <w:pPr>
        <w:numPr>
          <w:ilvl w:val="0"/>
          <w:numId w:val="1"/>
        </w:numPr>
        <w:jc w:val="both"/>
        <w:rPr>
          <w:rFonts w:ascii="Arial" w:hAnsi="Arial" w:cs="Arial"/>
        </w:rPr>
      </w:pPr>
      <w:r>
        <w:rPr>
          <w:rFonts w:ascii="Arial" w:hAnsi="Arial" w:cs="Arial"/>
        </w:rPr>
        <w:t xml:space="preserve">Canvass on behalf of a political party or on behalf of a person who is, or proposes to be, a candidate for election to Parliament, European Parliament or a local authority. </w:t>
      </w:r>
    </w:p>
    <w:p w14:paraId="07E31ECE" w14:textId="77777777" w:rsidR="00B92E30" w:rsidRDefault="00B92E30" w:rsidP="00B92E30">
      <w:pPr>
        <w:jc w:val="both"/>
        <w:rPr>
          <w:rFonts w:ascii="Arial" w:hAnsi="Arial" w:cs="Arial"/>
          <w:b/>
        </w:rPr>
      </w:pPr>
    </w:p>
    <w:p w14:paraId="2F218A98" w14:textId="77777777" w:rsidR="00B92E30" w:rsidRDefault="00B92E30" w:rsidP="00B92E30">
      <w:pPr>
        <w:jc w:val="both"/>
        <w:rPr>
          <w:rFonts w:ascii="Arial" w:hAnsi="Arial" w:cs="Arial"/>
          <w:b/>
        </w:rPr>
      </w:pPr>
      <w:r>
        <w:rPr>
          <w:rFonts w:ascii="Arial" w:hAnsi="Arial" w:cs="Arial"/>
          <w:b/>
        </w:rPr>
        <w:t>Exemptions</w:t>
      </w:r>
    </w:p>
    <w:p w14:paraId="34CEC72E" w14:textId="77777777" w:rsidR="00B92E30" w:rsidRDefault="00B92E30" w:rsidP="00B92E30">
      <w:pPr>
        <w:jc w:val="both"/>
        <w:rPr>
          <w:rFonts w:ascii="Arial" w:hAnsi="Arial" w:cs="Arial"/>
        </w:rPr>
      </w:pPr>
      <w:r>
        <w:rPr>
          <w:rFonts w:ascii="Arial" w:hAnsi="Arial" w:cs="Arial"/>
        </w:rPr>
        <w:t xml:space="preserve">Under the Police Reform and Social Responsibility Act 2011, post holders cannot apply for an exemption.  </w:t>
      </w:r>
    </w:p>
    <w:p w14:paraId="767F86A2" w14:textId="2F6FA260" w:rsidR="00B11DCE" w:rsidRPr="00BD3A62" w:rsidRDefault="00B92E30" w:rsidP="00BD3A62">
      <w:pPr>
        <w:jc w:val="both"/>
        <w:rPr>
          <w:szCs w:val="24"/>
        </w:rPr>
      </w:pPr>
      <w:r>
        <w:rPr>
          <w:rFonts w:ascii="Arial" w:hAnsi="Arial" w:cs="Arial"/>
          <w:b/>
        </w:rPr>
        <w:t>If you have any questions or would like any further information please speak to the Chief Executive.</w:t>
      </w:r>
      <w:r>
        <w:rPr>
          <w:rFonts w:ascii="Arial" w:hAnsi="Arial" w:cs="Arial"/>
          <w:noProof/>
          <w:color w:val="383838"/>
          <w:sz w:val="18"/>
          <w:szCs w:val="18"/>
        </w:rPr>
        <w:tab/>
      </w:r>
    </w:p>
    <w:sectPr w:rsidR="00B11DCE" w:rsidRPr="00BD3A62" w:rsidSect="00310EAF">
      <w:pgSz w:w="11907" w:h="16840" w:code="9"/>
      <w:pgMar w:top="1134" w:right="1134" w:bottom="1134" w:left="1134" w:header="68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68A2" w14:textId="77777777" w:rsidR="00B92E30" w:rsidRDefault="00B92E30" w:rsidP="00B92E30">
      <w:r>
        <w:separator/>
      </w:r>
    </w:p>
  </w:endnote>
  <w:endnote w:type="continuationSeparator" w:id="0">
    <w:p w14:paraId="020DDF25" w14:textId="77777777" w:rsidR="00B92E30" w:rsidRDefault="00B92E30" w:rsidP="00B9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F718" w14:textId="77777777" w:rsidR="00B92E30" w:rsidRDefault="00B92E30" w:rsidP="00B92E30">
      <w:r>
        <w:separator/>
      </w:r>
    </w:p>
  </w:footnote>
  <w:footnote w:type="continuationSeparator" w:id="0">
    <w:p w14:paraId="7C754F1B" w14:textId="77777777" w:rsidR="00B92E30" w:rsidRDefault="00B92E30" w:rsidP="00B92E30">
      <w:r>
        <w:continuationSeparator/>
      </w:r>
    </w:p>
  </w:footnote>
  <w:footnote w:id="1">
    <w:p w14:paraId="2219D547" w14:textId="77777777" w:rsidR="00B92E30" w:rsidRDefault="00B92E30" w:rsidP="00B92E30">
      <w:pPr>
        <w:pStyle w:val="FootnoteText"/>
        <w:jc w:val="both"/>
      </w:pPr>
      <w:r>
        <w:rPr>
          <w:rStyle w:val="FootnoteReference"/>
        </w:rPr>
        <w:footnoteRef/>
      </w:r>
      <w:r>
        <w:t xml:space="preserve"> S.1 Local Government and Housing Act 1989 as amended by paragraph 200 of schedule 16 to the Police Reform and Social Responsibility (PRSR) Act 2011, with transitional provision in paragraph 20 of schedule 15 of the PRSR Act 2011 – which exempts existing staff from such political restrictions). </w:t>
      </w:r>
    </w:p>
  </w:footnote>
  <w:footnote w:id="2">
    <w:p w14:paraId="5417D8B6" w14:textId="77777777" w:rsidR="00B92E30" w:rsidRDefault="00B92E30" w:rsidP="00B92E30">
      <w:pPr>
        <w:pStyle w:val="FootnoteText"/>
      </w:pPr>
      <w:r>
        <w:rPr>
          <w:rStyle w:val="FootnoteReference"/>
        </w:rPr>
        <w:footnoteRef/>
      </w:r>
      <w:r>
        <w:t xml:space="preserve"> Local Authority (defined in section 21 of the Local Government &amp; Housing Act 1989) does not include a Parish Council. </w:t>
      </w:r>
      <w:r>
        <w:br/>
      </w:r>
    </w:p>
    <w:p w14:paraId="31E1A8BE" w14:textId="77777777" w:rsidR="00B92E30" w:rsidRDefault="00B92E30" w:rsidP="00B92E3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D2253"/>
    <w:multiLevelType w:val="hybridMultilevel"/>
    <w:tmpl w:val="857C769C"/>
    <w:lvl w:ilvl="0" w:tplc="0809000B">
      <w:start w:val="1"/>
      <w:numFmt w:val="bullet"/>
      <w:lvlText w:val=""/>
      <w:lvlJc w:val="left"/>
      <w:pPr>
        <w:ind w:left="720" w:hanging="360"/>
      </w:pPr>
      <w:rPr>
        <w:rFonts w:ascii="Wingdings" w:hAnsi="Wingdings" w:hint="default"/>
      </w:rPr>
    </w:lvl>
    <w:lvl w:ilvl="1" w:tplc="08090017">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30"/>
    <w:rsid w:val="001B20E4"/>
    <w:rsid w:val="00B92E30"/>
    <w:rsid w:val="00BD3A62"/>
    <w:rsid w:val="00E6042B"/>
    <w:rsid w:val="00F27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1C8CE"/>
  <w15:chartTrackingRefBased/>
  <w15:docId w15:val="{5666490F-3012-4393-8CA8-50CAFCD6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E3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2E30"/>
    <w:pPr>
      <w:tabs>
        <w:tab w:val="center" w:pos="4153"/>
        <w:tab w:val="right" w:pos="8306"/>
      </w:tabs>
    </w:pPr>
  </w:style>
  <w:style w:type="character" w:customStyle="1" w:styleId="FooterChar">
    <w:name w:val="Footer Char"/>
    <w:basedOn w:val="DefaultParagraphFont"/>
    <w:link w:val="Footer"/>
    <w:rsid w:val="00B92E30"/>
    <w:rPr>
      <w:rFonts w:ascii="Times New Roman" w:eastAsia="Times New Roman" w:hAnsi="Times New Roman" w:cs="Times New Roman"/>
      <w:sz w:val="24"/>
      <w:szCs w:val="20"/>
      <w:lang w:eastAsia="en-GB"/>
    </w:rPr>
  </w:style>
  <w:style w:type="paragraph" w:styleId="FootnoteText">
    <w:name w:val="footnote text"/>
    <w:basedOn w:val="Normal"/>
    <w:link w:val="FootnoteTextChar"/>
    <w:unhideWhenUsed/>
    <w:rsid w:val="00B92E30"/>
    <w:rPr>
      <w:sz w:val="20"/>
    </w:rPr>
  </w:style>
  <w:style w:type="character" w:customStyle="1" w:styleId="FootnoteTextChar">
    <w:name w:val="Footnote Text Char"/>
    <w:basedOn w:val="DefaultParagraphFont"/>
    <w:link w:val="FootnoteText"/>
    <w:rsid w:val="00B92E30"/>
    <w:rPr>
      <w:rFonts w:ascii="Times New Roman" w:eastAsia="Times New Roman" w:hAnsi="Times New Roman" w:cs="Times New Roman"/>
      <w:sz w:val="20"/>
      <w:szCs w:val="20"/>
      <w:lang w:eastAsia="en-GB"/>
    </w:rPr>
  </w:style>
  <w:style w:type="character" w:styleId="FootnoteReference">
    <w:name w:val="footnote reference"/>
    <w:unhideWhenUsed/>
    <w:rsid w:val="00B92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Jane</dc:creator>
  <cp:keywords/>
  <dc:description/>
  <cp:lastModifiedBy>Wyatt, Rachel</cp:lastModifiedBy>
  <cp:revision>2</cp:revision>
  <dcterms:created xsi:type="dcterms:W3CDTF">2021-12-16T08:51:00Z</dcterms:created>
  <dcterms:modified xsi:type="dcterms:W3CDTF">2021-12-16T08:51:00Z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2021-12-16T08:50:25Z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ea52215d-d7fa-4fb5-bca9-f49d5a0ab6d3</vt:lpwstr>
  </property>
  <property fmtid="{D5CDD505-2E9C-101B-9397-08002B2CF9AE}" pid="8" name="MSIP_Label_f199e5ce-74b9-4f55-9a70-2eed142e80cb_ContentBits">
    <vt:lpwstr>0</vt:lpwstr>
  </property>
</Properties>
</file>